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30"/>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196CF1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52B5284D">
            <w:pPr>
              <w:pStyle w:val="19"/>
              <w:framePr w:wrap="notBeside" w:vAnchor="page" w:hAnchor="page" w:x="1372" w:y="568"/>
              <w:tabs>
                <w:tab w:val="clear" w:pos="4153"/>
                <w:tab w:val="clear" w:pos="8306"/>
              </w:tabs>
              <w:spacing w:line="240" w:lineRule="auto"/>
              <w:jc w:val="left"/>
              <w:rPr>
                <w:rFonts w:hint="eastAsia" w:ascii="黑体" w:hAnsi="黑体" w:eastAsia="黑体"/>
                <w:sz w:val="21"/>
                <w:szCs w:val="21"/>
              </w:rPr>
            </w:pPr>
            <w:r>
              <w:rPr>
                <w:rFonts w:ascii="Times New Roman" w:hAnsi="Times New Roman" w:eastAsia="黑体"/>
                <w:sz w:val="21"/>
                <w:szCs w:val="21"/>
              </w:rPr>
              <w:t>ICS</w:t>
            </w:r>
            <w:r>
              <w:rPr>
                <w:rFonts w:ascii="黑体" w:hAnsi="黑体" w:eastAsia="黑体"/>
                <w:sz w:val="21"/>
                <w:szCs w:val="21"/>
              </w:rPr>
              <w:t xml:space="preserve">  </w:t>
            </w:r>
          </w:p>
        </w:tc>
        <w:tc>
          <w:tcPr>
            <w:tcW w:w="8855" w:type="dxa"/>
          </w:tcPr>
          <w:p w14:paraId="0AD7F209">
            <w:pPr>
              <w:pStyle w:val="19"/>
              <w:framePr w:wrap="notBeside" w:vAnchor="page" w:hAnchor="page" w:x="1372" w:y="568"/>
              <w:tabs>
                <w:tab w:val="clear" w:pos="4153"/>
                <w:tab w:val="clear" w:pos="8306"/>
              </w:tabs>
              <w:spacing w:line="240" w:lineRule="auto"/>
              <w:jc w:val="both"/>
              <w:rPr>
                <w:rFonts w:hint="eastAsia" w:ascii="黑体" w:hAnsi="黑体" w:eastAsia="黑体"/>
                <w:sz w:val="21"/>
                <w:szCs w:val="21"/>
              </w:rPr>
            </w:pPr>
            <w:r>
              <w:rPr>
                <w:rFonts w:ascii="黑体" w:hAnsi="黑体" w:eastAsia="黑体"/>
                <w:sz w:val="21"/>
                <w:szCs w:val="21"/>
              </w:rPr>
              <w:fldChar w:fldCharType="begin">
                <w:ffData>
                  <w:name w:val="ICS"/>
                  <w:enabled/>
                  <w:calcOnExit w:val="0"/>
                  <w:textInput>
                    <w:default w:val="点击此处添加ICS号"/>
                  </w:textInput>
                </w:ffData>
              </w:fldChar>
            </w:r>
            <w:bookmarkStart w:id="0" w:name="ICS"/>
            <w:r>
              <w:rPr>
                <w:rFonts w:ascii="黑体" w:hAnsi="黑体" w:eastAsia="黑体"/>
                <w:sz w:val="21"/>
                <w:szCs w:val="21"/>
              </w:rPr>
              <w:instrText xml:space="preserve"> FORMTEXT </w:instrText>
            </w:r>
            <w:r>
              <w:rPr>
                <w:rFonts w:ascii="黑体" w:hAnsi="黑体" w:eastAsia="黑体"/>
                <w:sz w:val="21"/>
                <w:szCs w:val="21"/>
              </w:rPr>
              <w:fldChar w:fldCharType="separate"/>
            </w:r>
            <w:r>
              <w:rPr>
                <w:rFonts w:ascii="黑体" w:hAnsi="黑体" w:eastAsia="黑体"/>
                <w:sz w:val="21"/>
                <w:szCs w:val="21"/>
              </w:rPr>
              <w:t>点击此处添加ICS号</w:t>
            </w:r>
            <w:r>
              <w:rPr>
                <w:rFonts w:ascii="黑体" w:hAnsi="黑体" w:eastAsia="黑体"/>
                <w:sz w:val="21"/>
                <w:szCs w:val="21"/>
              </w:rPr>
              <w:fldChar w:fldCharType="end"/>
            </w:r>
            <w:bookmarkEnd w:id="0"/>
          </w:p>
        </w:tc>
      </w:tr>
      <w:tr w14:paraId="55521C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0379981E">
            <w:pPr>
              <w:pStyle w:val="19"/>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Times New Roman" w:hAnsi="Times New Roman" w:eastAsia="黑体"/>
                <w:sz w:val="21"/>
                <w:szCs w:val="21"/>
              </w:rPr>
              <w:t xml:space="preserve">CCS </w:t>
            </w:r>
            <w:r>
              <w:rPr>
                <w:rFonts w:ascii="黑体" w:hAnsi="黑体" w:eastAsia="黑体"/>
                <w:sz w:val="21"/>
                <w:szCs w:val="21"/>
              </w:rPr>
              <w:t xml:space="preserve"> </w:t>
            </w:r>
          </w:p>
        </w:tc>
        <w:tc>
          <w:tcPr>
            <w:tcW w:w="8855" w:type="dxa"/>
          </w:tcPr>
          <w:tbl>
            <w:tblPr>
              <w:tblStyle w:val="30"/>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62A25723">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0" w:type="dxa"/>
                  <w:bottom w:w="0" w:type="dxa"/>
                  <w:right w:w="113" w:type="dxa"/>
                </w:tblCellMar>
              </w:tblPrEx>
              <w:trPr>
                <w:trHeight w:val="1021" w:hRule="exact"/>
              </w:trPr>
              <w:tc>
                <w:tcPr>
                  <w:tcW w:w="9242" w:type="dxa"/>
                  <w:vAlign w:val="center"/>
                </w:tcPr>
                <w:p w14:paraId="6ACD577D">
                  <w:pPr>
                    <w:pStyle w:val="53"/>
                    <w:framePr w:wrap="notBeside" w:vAnchor="page" w:hAnchor="page" w:x="1372" w:y="568"/>
                    <w:ind w:left="420" w:right="624"/>
                    <w:rPr>
                      <w:rFonts w:hint="eastAsia" w:ascii="宋体" w:hAnsi="宋体"/>
                      <w:sz w:val="28"/>
                      <w:szCs w:val="28"/>
                    </w:rPr>
                  </w:pPr>
                </w:p>
              </w:tc>
            </w:tr>
          </w:tbl>
          <w:p w14:paraId="08F5B5F5">
            <w:pPr>
              <w:pStyle w:val="19"/>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黑体" w:hAnsi="黑体" w:eastAsia="黑体"/>
                <w:sz w:val="21"/>
                <w:szCs w:val="21"/>
              </w:rPr>
              <w:fldChar w:fldCharType="begin">
                <w:ffData>
                  <w:name w:val="CSDN"/>
                  <w:enabled/>
                  <w:calcOnExit w:val="0"/>
                  <w:textInput>
                    <w:default w:val="点击此处添加CCS号"/>
                  </w:textInput>
                </w:ffData>
              </w:fldChar>
            </w:r>
            <w:bookmarkStart w:id="1" w:name="CSDN"/>
            <w:r>
              <w:rPr>
                <w:rFonts w:ascii="黑体" w:hAnsi="黑体" w:eastAsia="黑体"/>
                <w:sz w:val="21"/>
                <w:szCs w:val="21"/>
              </w:rPr>
              <w:instrText xml:space="preserve"> FORMTEXT </w:instrText>
            </w:r>
            <w:r>
              <w:rPr>
                <w:rFonts w:ascii="黑体" w:hAnsi="黑体" w:eastAsia="黑体"/>
                <w:sz w:val="21"/>
                <w:szCs w:val="21"/>
              </w:rPr>
              <w:fldChar w:fldCharType="separate"/>
            </w:r>
            <w:r>
              <w:rPr>
                <w:rFonts w:ascii="黑体" w:hAnsi="黑体" w:eastAsia="黑体"/>
                <w:sz w:val="21"/>
                <w:szCs w:val="21"/>
              </w:rPr>
              <w:t>点击此处添加CCS号</w:t>
            </w:r>
            <w:r>
              <w:rPr>
                <w:rFonts w:ascii="黑体" w:hAnsi="黑体" w:eastAsia="黑体"/>
                <w:sz w:val="21"/>
                <w:szCs w:val="21"/>
              </w:rPr>
              <w:fldChar w:fldCharType="end"/>
            </w:r>
            <w:bookmarkEnd w:id="1"/>
          </w:p>
        </w:tc>
      </w:tr>
    </w:tbl>
    <w:p w14:paraId="4A0D99DE">
      <w:pPr>
        <w:pStyle w:val="54"/>
        <w:framePr w:w="7545" w:h="979" w:hRule="exact" w:hSpace="181" w:vSpace="181" w:wrap="around" w:hAnchor="page" w:x="2268" w:y="1957"/>
        <w:rPr>
          <w:rFonts w:hint="eastAsia" w:ascii="黑体" w:hAnsi="黑体" w:eastAsia="黑体"/>
          <w:b w:val="0"/>
          <w:bCs w:val="0"/>
          <w:w w:val="100"/>
          <w:sz w:val="72"/>
          <w:szCs w:val="72"/>
        </w:rPr>
      </w:pPr>
      <w:bookmarkStart w:id="2" w:name="_Hlk26473981"/>
      <w:r>
        <w:rPr>
          <w:rFonts w:hint="eastAsia" w:ascii="黑体" w:eastAsia="黑体"/>
          <w:b w:val="0"/>
          <w:w w:val="100"/>
          <w:sz w:val="72"/>
          <w:szCs w:val="72"/>
        </w:rPr>
        <w:t>团体</w:t>
      </w:r>
      <w:r>
        <w:rPr>
          <w:rFonts w:hint="eastAsia" w:ascii="黑体" w:hAnsi="黑体" w:eastAsia="黑体"/>
          <w:b w:val="0"/>
          <w:bCs w:val="0"/>
          <w:w w:val="100"/>
          <w:sz w:val="72"/>
          <w:szCs w:val="72"/>
        </w:rPr>
        <w:t>标准</w:t>
      </w:r>
    </w:p>
    <w:bookmarkEnd w:id="2"/>
    <w:p w14:paraId="06D4B3DE">
      <w:pPr>
        <w:pStyle w:val="199"/>
        <w:framePr/>
      </w:pPr>
      <w:r>
        <w:t>T/</w:t>
      </w:r>
      <w:r>
        <w:fldChar w:fldCharType="begin">
          <w:ffData>
            <w:name w:val="文字1"/>
            <w:enabled/>
            <w:calcOnExit w:val="0"/>
            <w:textInput>
              <w:default w:val="XXX"/>
            </w:textInput>
          </w:ffData>
        </w:fldChar>
      </w:r>
      <w:bookmarkStart w:id="3" w:name="文字1"/>
      <w:r>
        <w:instrText xml:space="preserve"> FORMTEXT </w:instrText>
      </w:r>
      <w:r>
        <w:fldChar w:fldCharType="separate"/>
      </w:r>
      <w:r>
        <w:t>CAPSA</w:t>
      </w:r>
      <w:r>
        <w:fldChar w:fldCharType="end"/>
      </w:r>
      <w:bookmarkEnd w:id="3"/>
      <w:r>
        <w:t xml:space="preserve"> </w:t>
      </w:r>
      <w:r>
        <w:fldChar w:fldCharType="begin">
          <w:ffData>
            <w:name w:val="NSTD_CODE_F"/>
            <w:enabled/>
            <w:calcOnExit w:val="0"/>
            <w:textInput>
              <w:default w:val="XXXX"/>
            </w:textInput>
          </w:ffData>
        </w:fldChar>
      </w:r>
      <w:bookmarkStart w:id="4" w:name="NSTD_CODE_F"/>
      <w:r>
        <w:instrText xml:space="preserve"> FORMTEXT </w:instrText>
      </w:r>
      <w:r>
        <w:fldChar w:fldCharType="separate"/>
      </w:r>
      <w:r>
        <w:t>XXXX</w:t>
      </w:r>
      <w:r>
        <w:fldChar w:fldCharType="end"/>
      </w:r>
      <w:bookmarkEnd w:id="4"/>
      <w:r>
        <w:rPr>
          <w:rFonts w:hAnsi="黑体"/>
        </w:rPr>
        <w:t>—</w:t>
      </w:r>
      <w:r>
        <w:fldChar w:fldCharType="begin">
          <w:ffData>
            <w:name w:val="NSTD_CODE_B"/>
            <w:enabled/>
            <w:calcOnExit w:val="0"/>
            <w:textInput>
              <w:default w:val="XXXX"/>
            </w:textInput>
          </w:ffData>
        </w:fldChar>
      </w:r>
      <w:bookmarkStart w:id="5" w:name="NSTD_CODE_B"/>
      <w:r>
        <w:instrText xml:space="preserve"> FORMTEXT </w:instrText>
      </w:r>
      <w:r>
        <w:fldChar w:fldCharType="separate"/>
      </w:r>
      <w:r>
        <w:t>XXXX</w:t>
      </w:r>
      <w:r>
        <w:fldChar w:fldCharType="end"/>
      </w:r>
      <w:bookmarkEnd w:id="5"/>
    </w:p>
    <w:p w14:paraId="2904F370">
      <w:pPr>
        <w:pStyle w:val="200"/>
        <w:framePr/>
        <w:rPr>
          <w:rFonts w:hint="eastAsia" w:hAnsi="黑体"/>
        </w:rPr>
      </w:pPr>
      <w:r>
        <w:rPr>
          <w:rFonts w:hAnsi="黑体"/>
        </w:rPr>
        <w:fldChar w:fldCharType="begin">
          <w:ffData>
            <w:name w:val="OSTD_CODE"/>
            <w:enabled/>
            <w:calcOnExit w:val="0"/>
            <w:textInput/>
          </w:ffData>
        </w:fldChar>
      </w:r>
      <w:bookmarkStart w:id="6" w:name="OSTD_CODE"/>
      <w:r>
        <w:rPr>
          <w:rFonts w:hAnsi="黑体"/>
        </w:rPr>
        <w:instrText xml:space="preserve"> FORMTEXT </w:instrText>
      </w:r>
      <w:r>
        <w:rPr>
          <w:rFonts w:hAnsi="黑体"/>
        </w:rPr>
        <w:fldChar w:fldCharType="separate"/>
      </w:r>
      <w:r>
        <w:rPr>
          <w:rFonts w:hAnsi="黑体"/>
        </w:rPr>
        <w:t>     </w:t>
      </w:r>
      <w:r>
        <w:rPr>
          <w:rFonts w:hAnsi="黑体"/>
        </w:rPr>
        <w:fldChar w:fldCharType="end"/>
      </w:r>
      <w:bookmarkEnd w:id="6"/>
    </w:p>
    <w:p w14:paraId="3DFBD479">
      <w:pPr>
        <w:spacing w:line="240" w:lineRule="auto"/>
        <w:rPr>
          <w:rFonts w:hint="eastAsia" w:ascii="黑体" w:hAnsi="黑体" w:eastAsia="黑体"/>
          <w:kern w:val="0"/>
          <w:sz w:val="10"/>
          <w:szCs w:val="10"/>
        </w:rPr>
      </w:pPr>
      <w:r>
        <w:rPr>
          <w:rFonts w:ascii="黑体" w:hAnsi="黑体" w:eastAsia="黑体"/>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0112F60F">
      <w:pPr>
        <w:pStyle w:val="54"/>
        <w:framePr w:w="9639" w:h="6976" w:hRule="exact" w:hSpace="0" w:vSpace="0" w:wrap="around" w:hAnchor="page" w:y="6408"/>
        <w:jc w:val="center"/>
        <w:rPr>
          <w:rFonts w:hint="eastAsia" w:ascii="黑体" w:hAnsi="黑体" w:eastAsia="黑体"/>
          <w:b w:val="0"/>
          <w:bCs w:val="0"/>
          <w:w w:val="100"/>
        </w:rPr>
      </w:pPr>
    </w:p>
    <w:p w14:paraId="4F765798">
      <w:pPr>
        <w:pStyle w:val="201"/>
        <w:framePr w:h="6974" w:hRule="exact" w:wrap="around" w:x="1419" w:anchorLock="1"/>
        <w:rPr>
          <w:rFonts w:hint="eastAsia"/>
        </w:rPr>
      </w:pPr>
      <w:r>
        <w:rPr>
          <w:rFonts w:hint="eastAsia"/>
        </w:rPr>
        <w:t>森林草原火灾扑救地空协同技术要求</w:t>
      </w:r>
    </w:p>
    <w:p w14:paraId="0A0B3A44">
      <w:pPr>
        <w:framePr w:w="9639" w:h="6974" w:hRule="exact" w:wrap="around" w:vAnchor="page" w:hAnchor="page" w:x="1419" w:y="6408" w:anchorLock="1"/>
        <w:ind w:left="-1418"/>
      </w:pPr>
    </w:p>
    <w:p w14:paraId="6BC6EBB0">
      <w:pPr>
        <w:pStyle w:val="129"/>
        <w:framePr w:w="9639" w:h="6974" w:hRule="exact" w:wrap="around" w:vAnchor="page" w:hAnchor="page" w:x="1419" w:y="6408"/>
        <w:rPr>
          <w:rFonts w:eastAsia="黑体"/>
        </w:rPr>
      </w:pPr>
      <w:r>
        <w:rPr>
          <w:rFonts w:hint="eastAsia" w:eastAsia="黑体"/>
        </w:rPr>
        <w:t>Technical r</w:t>
      </w:r>
      <w:r>
        <w:rPr>
          <w:rFonts w:eastAsia="黑体"/>
        </w:rPr>
        <w:t>equirements</w:t>
      </w:r>
      <w:r>
        <w:rPr>
          <w:rFonts w:hint="eastAsia" w:eastAsia="黑体"/>
        </w:rPr>
        <w:t xml:space="preserve"> for ground-air coordination in forest and </w:t>
      </w:r>
    </w:p>
    <w:p w14:paraId="494CA67D">
      <w:pPr>
        <w:pStyle w:val="129"/>
        <w:framePr w:w="9639" w:h="6974" w:hRule="exact" w:wrap="around" w:vAnchor="page" w:hAnchor="page" w:x="1419" w:y="6408"/>
        <w:rPr>
          <w:rFonts w:eastAsia="黑体"/>
        </w:rPr>
      </w:pPr>
      <w:r>
        <w:rPr>
          <w:rFonts w:hint="eastAsia" w:eastAsia="黑体"/>
        </w:rPr>
        <w:t>grassland fire fighting</w:t>
      </w:r>
    </w:p>
    <w:p w14:paraId="1C9BE473">
      <w:pPr>
        <w:framePr w:w="9639" w:h="6974" w:hRule="exact" w:wrap="around" w:vAnchor="page" w:hAnchor="page" w:x="1419" w:y="6408" w:anchorLock="1"/>
        <w:spacing w:line="760" w:lineRule="exact"/>
        <w:ind w:left="-1418"/>
      </w:pPr>
    </w:p>
    <w:p w14:paraId="2397DDDB">
      <w:pPr>
        <w:pStyle w:val="129"/>
        <w:framePr w:w="9639" w:h="6974" w:hRule="exact" w:wrap="around" w:vAnchor="page" w:hAnchor="page" w:x="1419" w:y="6408"/>
        <w:textAlignment w:val="bottom"/>
        <w:rPr>
          <w:rFonts w:eastAsia="黑体"/>
          <w:szCs w:val="28"/>
        </w:rPr>
      </w:pPr>
    </w:p>
    <w:p w14:paraId="1426D861">
      <w:pPr>
        <w:pStyle w:val="129"/>
        <w:framePr w:w="9639" w:h="6974" w:hRule="exact" w:wrap="around" w:vAnchor="page" w:hAnchor="page" w:x="1419" w:y="6408"/>
        <w:spacing w:before="440" w:after="160"/>
        <w:textAlignment w:val="bottom"/>
        <w:rPr>
          <w:b/>
          <w:bCs/>
          <w:sz w:val="48"/>
          <w:szCs w:val="52"/>
        </w:rPr>
      </w:pPr>
      <w:r>
        <w:rPr>
          <w:rFonts w:hint="eastAsia"/>
          <w:b/>
          <w:bCs/>
          <w:sz w:val="48"/>
          <w:szCs w:val="52"/>
        </w:rPr>
        <w:t>（征求意见稿）</w:t>
      </w:r>
    </w:p>
    <w:p w14:paraId="3147AF18">
      <w:pPr>
        <w:pStyle w:val="129"/>
        <w:framePr w:w="9639" w:h="6974" w:hRule="exact" w:wrap="around" w:vAnchor="page" w:hAnchor="page" w:x="1419" w:y="6408"/>
        <w:spacing w:before="180" w:line="240" w:lineRule="atLeast"/>
        <w:textAlignment w:val="bottom"/>
        <w:rPr>
          <w:sz w:val="21"/>
          <w:szCs w:val="28"/>
        </w:rPr>
      </w:pPr>
    </w:p>
    <w:p w14:paraId="26150BDB">
      <w:pPr>
        <w:pStyle w:val="129"/>
        <w:framePr w:w="9639" w:h="6974" w:hRule="exact" w:wrap="around" w:vAnchor="page" w:hAnchor="page" w:x="1419" w:y="6408"/>
        <w:spacing w:before="720" w:beforeLines="300" w:after="72" w:afterLines="30" w:line="240" w:lineRule="auto"/>
        <w:textAlignment w:val="bottom"/>
        <w:rPr>
          <w:b/>
          <w:sz w:val="21"/>
          <w:szCs w:val="28"/>
        </w:rPr>
      </w:pPr>
      <w:r>
        <w:rPr>
          <w:b/>
          <w:sz w:val="21"/>
          <w:szCs w:val="28"/>
        </w:rPr>
        <w:fldChar w:fldCharType="begin">
          <w:ffData>
            <w:name w:val="下拉2"/>
            <w:enabled/>
            <w:calcOnExit w:val="0"/>
            <w:ddList>
              <w:listEntry w:val=" "/>
              <w:listEntry w:val="在提交反馈意见时，请将您知道的相关专利连同支持性文件一并附上。"/>
            </w:ddList>
          </w:ffData>
        </w:fldChar>
      </w:r>
      <w:bookmarkStart w:id="7" w:name="下拉2"/>
      <w:r>
        <w:rPr>
          <w:b/>
          <w:sz w:val="21"/>
          <w:szCs w:val="28"/>
        </w:rPr>
        <w:instrText xml:space="preserve"> FORMDROPDOWN </w:instrText>
      </w:r>
      <w:r>
        <w:rPr>
          <w:b/>
          <w:sz w:val="21"/>
          <w:szCs w:val="28"/>
        </w:rPr>
        <w:fldChar w:fldCharType="separate"/>
      </w:r>
      <w:r>
        <w:rPr>
          <w:b/>
          <w:sz w:val="21"/>
          <w:szCs w:val="28"/>
        </w:rPr>
        <w:fldChar w:fldCharType="end"/>
      </w:r>
      <w:bookmarkEnd w:id="7"/>
    </w:p>
    <w:p w14:paraId="107485C3">
      <w:pPr>
        <w:pStyle w:val="197"/>
        <w:framePr w:wrap="around" w:y="14176"/>
      </w:pPr>
      <w:r>
        <w:rPr>
          <w:rFonts w:ascii="黑体"/>
        </w:rPr>
        <w:fldChar w:fldCharType="begin">
          <w:ffData>
            <w:name w:val="PLSH_DATE_Y"/>
            <w:enabled/>
            <w:calcOnExit w:val="0"/>
            <w:textInput>
              <w:default w:val="XXXX"/>
              <w:maxLength w:val="4"/>
            </w:textInput>
          </w:ffData>
        </w:fldChar>
      </w:r>
      <w:bookmarkStart w:id="8" w:name="PLSH_DATE_Y"/>
      <w:r>
        <w:rPr>
          <w:rFonts w:ascii="黑体"/>
        </w:rPr>
        <w:instrText xml:space="preserve"> FORMTEXT </w:instrText>
      </w:r>
      <w:r>
        <w:rPr>
          <w:rFonts w:ascii="黑体"/>
        </w:rPr>
        <w:fldChar w:fldCharType="separate"/>
      </w:r>
      <w:r>
        <w:rPr>
          <w:rFonts w:ascii="黑体"/>
        </w:rPr>
        <w:t>XXXX</w:t>
      </w:r>
      <w:r>
        <w:rPr>
          <w:rFonts w:ascii="黑体"/>
        </w:rPr>
        <w:fldChar w:fldCharType="end"/>
      </w:r>
      <w:bookmarkEnd w:id="8"/>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9" w:name="PLSH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9"/>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0" w:name="PLSH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0"/>
      <w:r>
        <w:rPr>
          <w:rFonts w:hint="eastAsia"/>
        </w:rPr>
        <w:t>发布</w:t>
      </w:r>
    </w:p>
    <w:p w14:paraId="613C3BF7">
      <w:pPr>
        <w:pStyle w:val="198"/>
        <w:framePr w:wrap="around" w:y="14176"/>
      </w:pPr>
      <w:r>
        <w:rPr>
          <w:rFonts w:ascii="黑体"/>
        </w:rPr>
        <w:fldChar w:fldCharType="begin">
          <w:ffData>
            <w:name w:val="CROT_DATE_Y"/>
            <w:enabled/>
            <w:calcOnExit w:val="0"/>
            <w:textInput>
              <w:default w:val="XXXX"/>
              <w:maxLength w:val="4"/>
            </w:textInput>
          </w:ffData>
        </w:fldChar>
      </w:r>
      <w:bookmarkStart w:id="11" w:name="CROT_DATE_Y"/>
      <w:r>
        <w:rPr>
          <w:rFonts w:ascii="黑体"/>
        </w:rPr>
        <w:instrText xml:space="preserve"> FORMTEXT </w:instrText>
      </w:r>
      <w:r>
        <w:rPr>
          <w:rFonts w:ascii="黑体"/>
        </w:rPr>
        <w:fldChar w:fldCharType="separate"/>
      </w:r>
      <w:r>
        <w:rPr>
          <w:rFonts w:ascii="黑体"/>
        </w:rPr>
        <w:t>XXXX</w:t>
      </w:r>
      <w:r>
        <w:rPr>
          <w:rFonts w:ascii="黑体"/>
        </w:rPr>
        <w:fldChar w:fldCharType="end"/>
      </w:r>
      <w:bookmarkEnd w:id="11"/>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2" w:name="CROT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2"/>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3" w:name="CROT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3"/>
      <w:r>
        <w:rPr>
          <w:rFonts w:hint="eastAsia"/>
        </w:rPr>
        <w:t>实施</w:t>
      </w:r>
    </w:p>
    <w:p w14:paraId="5ED5606D">
      <w:pPr>
        <w:pStyle w:val="155"/>
        <w:framePr w:h="584" w:hRule="exact" w:hSpace="181" w:vSpace="181" w:wrap="around" w:y="14800"/>
        <w:rPr>
          <w:rFonts w:hint="eastAsia" w:hAnsi="黑体"/>
        </w:rPr>
      </w:pPr>
      <w:r>
        <w:rPr>
          <w:rFonts w:hAnsi="黑体"/>
          <w:spacing w:val="20"/>
          <w:sz w:val="28"/>
        </w:rPr>
        <w:fldChar w:fldCharType="begin">
          <w:ffData>
            <w:name w:val="fm"/>
            <w:enabled/>
            <w:calcOnExit w:val="0"/>
            <w:textInput/>
          </w:ffData>
        </w:fldChar>
      </w:r>
      <w:bookmarkStart w:id="14" w:name="fm"/>
      <w:r>
        <w:rPr>
          <w:rFonts w:hAnsi="黑体"/>
          <w:spacing w:val="20"/>
          <w:sz w:val="28"/>
        </w:rPr>
        <w:instrText xml:space="preserve"> FORMTEXT </w:instrText>
      </w:r>
      <w:r>
        <w:rPr>
          <w:rFonts w:hAnsi="黑体"/>
          <w:spacing w:val="20"/>
          <w:sz w:val="28"/>
        </w:rPr>
        <w:fldChar w:fldCharType="separate"/>
      </w:r>
      <w:r>
        <w:rPr>
          <w:rFonts w:hint="eastAsia" w:hAnsi="黑体"/>
          <w:spacing w:val="20"/>
          <w:sz w:val="28"/>
        </w:rPr>
        <w:t>公共安全科学技术学会</w:t>
      </w:r>
      <w:r>
        <w:rPr>
          <w:rFonts w:hAnsi="黑体"/>
          <w:spacing w:val="20"/>
          <w:sz w:val="28"/>
        </w:rPr>
        <w:fldChar w:fldCharType="end"/>
      </w:r>
      <w:bookmarkEnd w:id="14"/>
      <w:r>
        <w:rPr>
          <w:rFonts w:ascii="Times New Roman"/>
          <w:w w:val="100"/>
          <w:sz w:val="28"/>
        </w:rPr>
        <w:t>  </w:t>
      </w:r>
      <w:r>
        <w:rPr>
          <w:rStyle w:val="233"/>
          <w:rFonts w:hint="eastAsia" w:hAnsi="黑体"/>
          <w:position w:val="0"/>
        </w:rPr>
        <w:t>发</w:t>
      </w:r>
      <w:r>
        <w:rPr>
          <w:rStyle w:val="233"/>
          <w:rFonts w:hint="eastAsia" w:hAnsi="黑体"/>
          <w:spacing w:val="0"/>
          <w:position w:val="0"/>
        </w:rPr>
        <w:t>布</w:t>
      </w:r>
    </w:p>
    <w:p w14:paraId="3AE10C71">
      <w:pPr>
        <w:rPr>
          <w:rFonts w:hint="eastAsia" w:ascii="宋体" w:hAnsi="宋体"/>
          <w:sz w:val="28"/>
          <w:szCs w:val="28"/>
        </w:rPr>
        <w:sectPr>
          <w:headerReference r:id="rId6" w:type="first"/>
          <w:footerReference r:id="rId8" w:type="first"/>
          <w:headerReference r:id="rId5" w:type="default"/>
          <w:footerReference r:id="rId7" w:type="even"/>
          <w:type w:val="continuous"/>
          <w:pgSz w:w="11906" w:h="16838"/>
          <w:pgMar w:top="567" w:right="1134" w:bottom="1134" w:left="1134" w:header="1418" w:footer="1134" w:gutter="284"/>
          <w:cols w:space="425" w:num="1"/>
          <w:titlePg/>
          <w:docGrid w:linePitch="312" w:charSpace="0"/>
        </w:sectPr>
      </w:pPr>
      <w:bookmarkStart w:id="197" w:name="_GoBack"/>
      <w:bookmarkEnd w:id="197"/>
      <w:r>
        <w:rPr>
          <w:rFonts w:hint="eastAsia" w:ascii="宋体" w:hAnsi="宋体"/>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66A71288">
      <w:pPr>
        <w:pStyle w:val="95"/>
        <w:spacing w:after="360"/>
      </w:pPr>
      <w:bookmarkStart w:id="15" w:name="BookMark1"/>
      <w:bookmarkStart w:id="16" w:name="_Toc134607457"/>
      <w:bookmarkStart w:id="17" w:name="_Toc147744718"/>
      <w:bookmarkStart w:id="18" w:name="_Toc146618385"/>
      <w:bookmarkStart w:id="19" w:name="_Toc147753913"/>
      <w:bookmarkStart w:id="20" w:name="_Toc134091048"/>
      <w:r>
        <w:rPr>
          <w:rFonts w:hint="eastAsia"/>
          <w:spacing w:val="320"/>
        </w:rPr>
        <w:t>目</w:t>
      </w:r>
      <w:r>
        <w:rPr>
          <w:rFonts w:hint="eastAsia"/>
        </w:rPr>
        <w:t>次</w:t>
      </w:r>
    </w:p>
    <w:p w14:paraId="327ED030">
      <w:pPr>
        <w:pStyle w:val="20"/>
        <w:tabs>
          <w:tab w:val="right" w:leader="dot" w:pos="9354"/>
        </w:tabs>
      </w:pPr>
      <w:r>
        <w:fldChar w:fldCharType="begin"/>
      </w:r>
      <w:r>
        <w:instrText xml:space="preserve"> TOC \o "1-1" \h \t "标准文件_一级条标题,2,标准文件_附录一级条标题,2," </w:instrText>
      </w:r>
      <w:r>
        <w:fldChar w:fldCharType="separate"/>
      </w:r>
      <w:r>
        <w:fldChar w:fldCharType="begin"/>
      </w:r>
      <w:r>
        <w:instrText xml:space="preserve"> HYPERLINK \l "_Toc18524" </w:instrText>
      </w:r>
      <w:r>
        <w:fldChar w:fldCharType="separate"/>
      </w:r>
      <w:r>
        <w:rPr>
          <w:spacing w:val="320"/>
        </w:rPr>
        <w:t>前</w:t>
      </w:r>
      <w:r>
        <w:t>言</w:t>
      </w:r>
      <w:r>
        <w:tab/>
      </w:r>
      <w:r>
        <w:fldChar w:fldCharType="begin"/>
      </w:r>
      <w:r>
        <w:instrText xml:space="preserve"> PAGEREF _Toc18524 \h </w:instrText>
      </w:r>
      <w:r>
        <w:fldChar w:fldCharType="separate"/>
      </w:r>
      <w:r>
        <w:t>II</w:t>
      </w:r>
      <w:r>
        <w:fldChar w:fldCharType="end"/>
      </w:r>
      <w:r>
        <w:fldChar w:fldCharType="end"/>
      </w:r>
    </w:p>
    <w:p w14:paraId="460580AD">
      <w:pPr>
        <w:pStyle w:val="20"/>
        <w:tabs>
          <w:tab w:val="right" w:leader="dot" w:pos="9354"/>
        </w:tabs>
      </w:pPr>
      <w:r>
        <w:fldChar w:fldCharType="begin"/>
      </w:r>
      <w:r>
        <w:instrText xml:space="preserve"> HYPERLINK \l "_Toc4091" </w:instrText>
      </w:r>
      <w:r>
        <w:fldChar w:fldCharType="separate"/>
      </w:r>
      <w:r>
        <w:rPr>
          <w:spacing w:val="320"/>
        </w:rPr>
        <w:t>引</w:t>
      </w:r>
      <w:r>
        <w:t>言</w:t>
      </w:r>
      <w:r>
        <w:tab/>
      </w:r>
      <w:r>
        <w:fldChar w:fldCharType="begin"/>
      </w:r>
      <w:r>
        <w:instrText xml:space="preserve"> PAGEREF _Toc4091 \h </w:instrText>
      </w:r>
      <w:r>
        <w:fldChar w:fldCharType="separate"/>
      </w:r>
      <w:r>
        <w:t>III</w:t>
      </w:r>
      <w:r>
        <w:fldChar w:fldCharType="end"/>
      </w:r>
      <w:r>
        <w:fldChar w:fldCharType="end"/>
      </w:r>
    </w:p>
    <w:p w14:paraId="5C265260">
      <w:pPr>
        <w:pStyle w:val="20"/>
        <w:tabs>
          <w:tab w:val="right" w:leader="dot" w:pos="9354"/>
        </w:tabs>
      </w:pPr>
      <w:r>
        <w:fldChar w:fldCharType="begin"/>
      </w:r>
      <w:r>
        <w:instrText xml:space="preserve"> HYPERLINK \l "_Toc28902" </w:instrText>
      </w:r>
      <w:r>
        <w:fldChar w:fldCharType="separate"/>
      </w:r>
      <w:r>
        <w:rPr>
          <w:rFonts w:hint="eastAsia" w:ascii="黑体" w:eastAsia="黑体"/>
        </w:rPr>
        <w:t xml:space="preserve">1 </w:t>
      </w:r>
      <w:r>
        <w:rPr>
          <w:rFonts w:hint="eastAsia"/>
        </w:rPr>
        <w:t>范围</w:t>
      </w:r>
      <w:r>
        <w:tab/>
      </w:r>
      <w:r>
        <w:fldChar w:fldCharType="begin"/>
      </w:r>
      <w:r>
        <w:instrText xml:space="preserve"> PAGEREF _Toc28902 \h </w:instrText>
      </w:r>
      <w:r>
        <w:fldChar w:fldCharType="separate"/>
      </w:r>
      <w:r>
        <w:t>4</w:t>
      </w:r>
      <w:r>
        <w:fldChar w:fldCharType="end"/>
      </w:r>
      <w:r>
        <w:fldChar w:fldCharType="end"/>
      </w:r>
    </w:p>
    <w:p w14:paraId="45330B6F">
      <w:pPr>
        <w:pStyle w:val="20"/>
        <w:tabs>
          <w:tab w:val="right" w:leader="dot" w:pos="9354"/>
        </w:tabs>
      </w:pPr>
      <w:r>
        <w:fldChar w:fldCharType="begin"/>
      </w:r>
      <w:r>
        <w:instrText xml:space="preserve"> HYPERLINK \l "_Toc7421" </w:instrText>
      </w:r>
      <w:r>
        <w:fldChar w:fldCharType="separate"/>
      </w:r>
      <w:r>
        <w:rPr>
          <w:rFonts w:hint="eastAsia" w:ascii="黑体" w:eastAsia="黑体"/>
        </w:rPr>
        <w:t xml:space="preserve">2 </w:t>
      </w:r>
      <w:r>
        <w:rPr>
          <w:rFonts w:hint="eastAsia"/>
        </w:rPr>
        <w:t>规范性引用文件</w:t>
      </w:r>
      <w:r>
        <w:tab/>
      </w:r>
      <w:r>
        <w:fldChar w:fldCharType="begin"/>
      </w:r>
      <w:r>
        <w:instrText xml:space="preserve"> PAGEREF _Toc7421 \h </w:instrText>
      </w:r>
      <w:r>
        <w:fldChar w:fldCharType="separate"/>
      </w:r>
      <w:r>
        <w:t>4</w:t>
      </w:r>
      <w:r>
        <w:fldChar w:fldCharType="end"/>
      </w:r>
      <w:r>
        <w:fldChar w:fldCharType="end"/>
      </w:r>
    </w:p>
    <w:p w14:paraId="524A8401">
      <w:pPr>
        <w:pStyle w:val="20"/>
        <w:tabs>
          <w:tab w:val="right" w:leader="dot" w:pos="9354"/>
        </w:tabs>
      </w:pPr>
      <w:r>
        <w:fldChar w:fldCharType="begin"/>
      </w:r>
      <w:r>
        <w:instrText xml:space="preserve"> HYPERLINK \l "_Toc2463" </w:instrText>
      </w:r>
      <w:r>
        <w:fldChar w:fldCharType="separate"/>
      </w:r>
      <w:r>
        <w:rPr>
          <w:rFonts w:hint="eastAsia" w:ascii="黑体" w:eastAsia="黑体"/>
        </w:rPr>
        <w:t xml:space="preserve">3 </w:t>
      </w:r>
      <w:r>
        <w:rPr>
          <w:rFonts w:hint="eastAsia"/>
        </w:rPr>
        <w:t>术语和定义</w:t>
      </w:r>
      <w:r>
        <w:tab/>
      </w:r>
      <w:r>
        <w:fldChar w:fldCharType="begin"/>
      </w:r>
      <w:r>
        <w:instrText xml:space="preserve"> PAGEREF _Toc2463 \h </w:instrText>
      </w:r>
      <w:r>
        <w:fldChar w:fldCharType="separate"/>
      </w:r>
      <w:r>
        <w:t>4</w:t>
      </w:r>
      <w:r>
        <w:fldChar w:fldCharType="end"/>
      </w:r>
      <w:r>
        <w:fldChar w:fldCharType="end"/>
      </w:r>
    </w:p>
    <w:p w14:paraId="0FB6FCAC">
      <w:pPr>
        <w:pStyle w:val="20"/>
        <w:tabs>
          <w:tab w:val="right" w:leader="dot" w:pos="9354"/>
        </w:tabs>
      </w:pPr>
      <w:r>
        <w:fldChar w:fldCharType="begin"/>
      </w:r>
      <w:r>
        <w:instrText xml:space="preserve"> HYPERLINK \l "_Toc6327" </w:instrText>
      </w:r>
      <w:r>
        <w:fldChar w:fldCharType="separate"/>
      </w:r>
      <w:r>
        <w:rPr>
          <w:rFonts w:hint="eastAsia" w:ascii="黑体" w:eastAsia="黑体"/>
        </w:rPr>
        <w:t xml:space="preserve">4 </w:t>
      </w:r>
      <w:r>
        <w:rPr>
          <w:rFonts w:hint="eastAsia"/>
        </w:rPr>
        <w:t>基本要求</w:t>
      </w:r>
      <w:r>
        <w:tab/>
      </w:r>
      <w:r>
        <w:fldChar w:fldCharType="begin"/>
      </w:r>
      <w:r>
        <w:instrText xml:space="preserve"> PAGEREF _Toc6327 \h </w:instrText>
      </w:r>
      <w:r>
        <w:fldChar w:fldCharType="separate"/>
      </w:r>
      <w:r>
        <w:t>5</w:t>
      </w:r>
      <w:r>
        <w:fldChar w:fldCharType="end"/>
      </w:r>
      <w:r>
        <w:fldChar w:fldCharType="end"/>
      </w:r>
    </w:p>
    <w:p w14:paraId="7A0811F2">
      <w:pPr>
        <w:pStyle w:val="25"/>
        <w:tabs>
          <w:tab w:val="right" w:leader="dot" w:pos="9354"/>
          <w:tab w:val="clear" w:pos="9344"/>
        </w:tabs>
      </w:pPr>
      <w:r>
        <w:fldChar w:fldCharType="begin"/>
      </w:r>
      <w:r>
        <w:instrText xml:space="preserve"> HYPERLINK \l "_Toc13670" </w:instrText>
      </w:r>
      <w:r>
        <w:fldChar w:fldCharType="separate"/>
      </w:r>
      <w:r>
        <w:rPr>
          <w:rFonts w:hint="eastAsia" w:ascii="黑体" w:hAnsi="Times New Roman" w:eastAsia="黑体"/>
          <w:kern w:val="0"/>
          <w14:scene3d w14:prst="orthographicFront">
            <w14:lightRig w14:rig="threePt" w14:dir="t">
              <w14:rot w14:lat="0" w14:lon="0" w14:rev="0"/>
            </w14:lightRig>
          </w14:scene3d>
        </w:rPr>
        <w:t xml:space="preserve">4.1 </w:t>
      </w:r>
      <w:r>
        <w:rPr>
          <w:rFonts w:hint="eastAsia"/>
        </w:rPr>
        <w:t>总体框架</w:t>
      </w:r>
      <w:r>
        <w:tab/>
      </w:r>
      <w:r>
        <w:fldChar w:fldCharType="begin"/>
      </w:r>
      <w:r>
        <w:instrText xml:space="preserve"> PAGEREF _Toc13670 \h </w:instrText>
      </w:r>
      <w:r>
        <w:fldChar w:fldCharType="separate"/>
      </w:r>
      <w:r>
        <w:t>5</w:t>
      </w:r>
      <w:r>
        <w:fldChar w:fldCharType="end"/>
      </w:r>
      <w:r>
        <w:fldChar w:fldCharType="end"/>
      </w:r>
    </w:p>
    <w:p w14:paraId="22A56B59">
      <w:pPr>
        <w:pStyle w:val="25"/>
        <w:tabs>
          <w:tab w:val="right" w:leader="dot" w:pos="9354"/>
          <w:tab w:val="clear" w:pos="9344"/>
        </w:tabs>
      </w:pPr>
      <w:r>
        <w:fldChar w:fldCharType="begin"/>
      </w:r>
      <w:r>
        <w:instrText xml:space="preserve"> HYPERLINK \l "_Toc26274" </w:instrText>
      </w:r>
      <w:r>
        <w:fldChar w:fldCharType="separate"/>
      </w:r>
      <w:r>
        <w:rPr>
          <w:rFonts w:hint="eastAsia" w:ascii="黑体" w:hAnsi="Times New Roman" w:eastAsia="黑体"/>
          <w:kern w:val="0"/>
          <w14:scene3d w14:prst="orthographicFront">
            <w14:lightRig w14:rig="threePt" w14:dir="t">
              <w14:rot w14:lat="0" w14:lon="0" w14:rev="0"/>
            </w14:lightRig>
          </w14:scene3d>
        </w:rPr>
        <w:t xml:space="preserve">4.2 </w:t>
      </w:r>
      <w:r>
        <w:rPr>
          <w:rFonts w:hint="eastAsia"/>
        </w:rPr>
        <w:t>地空协同基本要求</w:t>
      </w:r>
      <w:r>
        <w:tab/>
      </w:r>
      <w:r>
        <w:fldChar w:fldCharType="begin"/>
      </w:r>
      <w:r>
        <w:instrText xml:space="preserve"> PAGEREF _Toc26274 \h </w:instrText>
      </w:r>
      <w:r>
        <w:fldChar w:fldCharType="separate"/>
      </w:r>
      <w:r>
        <w:t>5</w:t>
      </w:r>
      <w:r>
        <w:fldChar w:fldCharType="end"/>
      </w:r>
      <w:r>
        <w:fldChar w:fldCharType="end"/>
      </w:r>
    </w:p>
    <w:p w14:paraId="3F1407AE">
      <w:pPr>
        <w:pStyle w:val="20"/>
        <w:tabs>
          <w:tab w:val="right" w:leader="dot" w:pos="9354"/>
        </w:tabs>
      </w:pPr>
      <w:r>
        <w:fldChar w:fldCharType="begin"/>
      </w:r>
      <w:r>
        <w:instrText xml:space="preserve"> HYPERLINK \l "_Toc19842" </w:instrText>
      </w:r>
      <w:r>
        <w:fldChar w:fldCharType="separate"/>
      </w:r>
      <w:r>
        <w:rPr>
          <w:rFonts w:hint="eastAsia" w:ascii="黑体" w:eastAsia="黑体"/>
        </w:rPr>
        <w:t xml:space="preserve">5 </w:t>
      </w:r>
      <w:r>
        <w:rPr>
          <w:rFonts w:hint="eastAsia"/>
        </w:rPr>
        <w:t>森林草原火灾扑救航空消防业务协同</w:t>
      </w:r>
      <w:r>
        <w:tab/>
      </w:r>
      <w:r>
        <w:fldChar w:fldCharType="begin"/>
      </w:r>
      <w:r>
        <w:instrText xml:space="preserve"> PAGEREF _Toc19842 \h </w:instrText>
      </w:r>
      <w:r>
        <w:fldChar w:fldCharType="separate"/>
      </w:r>
      <w:r>
        <w:t>6</w:t>
      </w:r>
      <w:r>
        <w:fldChar w:fldCharType="end"/>
      </w:r>
      <w:r>
        <w:fldChar w:fldCharType="end"/>
      </w:r>
    </w:p>
    <w:p w14:paraId="7E776996">
      <w:pPr>
        <w:pStyle w:val="25"/>
        <w:tabs>
          <w:tab w:val="right" w:leader="dot" w:pos="9354"/>
          <w:tab w:val="clear" w:pos="9344"/>
        </w:tabs>
      </w:pPr>
      <w:r>
        <w:fldChar w:fldCharType="begin"/>
      </w:r>
      <w:r>
        <w:instrText xml:space="preserve"> HYPERLINK \l "_Toc14294" </w:instrText>
      </w:r>
      <w:r>
        <w:fldChar w:fldCharType="separate"/>
      </w:r>
      <w:r>
        <w:rPr>
          <w:rFonts w:hint="eastAsia" w:ascii="黑体" w:hAnsi="Times New Roman" w:eastAsia="黑体"/>
          <w:kern w:val="0"/>
          <w14:scene3d w14:prst="orthographicFront">
            <w14:lightRig w14:rig="threePt" w14:dir="t">
              <w14:rot w14:lat="0" w14:lon="0" w14:rev="0"/>
            </w14:lightRig>
          </w14:scene3d>
        </w:rPr>
        <w:t xml:space="preserve">5.1 </w:t>
      </w:r>
      <w:r>
        <w:rPr>
          <w:rFonts w:hint="eastAsia"/>
        </w:rPr>
        <w:t>响应流程协同</w:t>
      </w:r>
      <w:r>
        <w:tab/>
      </w:r>
      <w:r>
        <w:fldChar w:fldCharType="begin"/>
      </w:r>
      <w:r>
        <w:instrText xml:space="preserve"> PAGEREF _Toc14294 \h </w:instrText>
      </w:r>
      <w:r>
        <w:fldChar w:fldCharType="separate"/>
      </w:r>
      <w:r>
        <w:t>6</w:t>
      </w:r>
      <w:r>
        <w:fldChar w:fldCharType="end"/>
      </w:r>
      <w:r>
        <w:fldChar w:fldCharType="end"/>
      </w:r>
    </w:p>
    <w:p w14:paraId="461A955B">
      <w:pPr>
        <w:pStyle w:val="25"/>
        <w:tabs>
          <w:tab w:val="right" w:leader="dot" w:pos="9354"/>
          <w:tab w:val="clear" w:pos="9344"/>
        </w:tabs>
      </w:pPr>
      <w:r>
        <w:fldChar w:fldCharType="begin"/>
      </w:r>
      <w:r>
        <w:instrText xml:space="preserve"> HYPERLINK \l "_Toc12271" </w:instrText>
      </w:r>
      <w:r>
        <w:fldChar w:fldCharType="separate"/>
      </w:r>
      <w:r>
        <w:rPr>
          <w:rFonts w:hint="eastAsia" w:ascii="黑体" w:hAnsi="Times New Roman" w:eastAsia="黑体"/>
          <w:kern w:val="0"/>
          <w14:scene3d w14:prst="orthographicFront">
            <w14:lightRig w14:rig="threePt" w14:dir="t">
              <w14:rot w14:lat="0" w14:lon="0" w14:rev="0"/>
            </w14:lightRig>
          </w14:scene3d>
        </w:rPr>
        <w:t xml:space="preserve">5.2 </w:t>
      </w:r>
      <w:r>
        <w:rPr>
          <w:rFonts w:hint="eastAsia"/>
        </w:rPr>
        <w:t>火场指挥协同</w:t>
      </w:r>
      <w:r>
        <w:tab/>
      </w:r>
      <w:r>
        <w:fldChar w:fldCharType="begin"/>
      </w:r>
      <w:r>
        <w:instrText xml:space="preserve"> PAGEREF _Toc12271 \h </w:instrText>
      </w:r>
      <w:r>
        <w:fldChar w:fldCharType="separate"/>
      </w:r>
      <w:r>
        <w:t>7</w:t>
      </w:r>
      <w:r>
        <w:fldChar w:fldCharType="end"/>
      </w:r>
      <w:r>
        <w:fldChar w:fldCharType="end"/>
      </w:r>
    </w:p>
    <w:p w14:paraId="04E09343">
      <w:pPr>
        <w:pStyle w:val="25"/>
        <w:tabs>
          <w:tab w:val="right" w:leader="dot" w:pos="9354"/>
          <w:tab w:val="clear" w:pos="9344"/>
        </w:tabs>
      </w:pPr>
      <w:r>
        <w:fldChar w:fldCharType="begin"/>
      </w:r>
      <w:r>
        <w:instrText xml:space="preserve"> HYPERLINK \l "_Toc9880" </w:instrText>
      </w:r>
      <w:r>
        <w:fldChar w:fldCharType="separate"/>
      </w:r>
      <w:r>
        <w:rPr>
          <w:rFonts w:hint="eastAsia" w:ascii="黑体" w:hAnsi="Times New Roman" w:eastAsia="黑体"/>
          <w:kern w:val="0"/>
          <w14:scene3d w14:prst="orthographicFront">
            <w14:lightRig w14:rig="threePt" w14:dir="t">
              <w14:rot w14:lat="0" w14:lon="0" w14:rev="0"/>
            </w14:lightRig>
          </w14:scene3d>
        </w:rPr>
        <w:t xml:space="preserve">5.3 </w:t>
      </w:r>
      <w:r>
        <w:rPr>
          <w:rFonts w:hint="eastAsia"/>
        </w:rPr>
        <w:t>战术行动协同</w:t>
      </w:r>
      <w:r>
        <w:tab/>
      </w:r>
      <w:r>
        <w:fldChar w:fldCharType="begin"/>
      </w:r>
      <w:r>
        <w:instrText xml:space="preserve"> PAGEREF _Toc9880 \h </w:instrText>
      </w:r>
      <w:r>
        <w:fldChar w:fldCharType="separate"/>
      </w:r>
      <w:r>
        <w:t>7</w:t>
      </w:r>
      <w:r>
        <w:fldChar w:fldCharType="end"/>
      </w:r>
      <w:r>
        <w:fldChar w:fldCharType="end"/>
      </w:r>
    </w:p>
    <w:p w14:paraId="367E2497">
      <w:pPr>
        <w:pStyle w:val="20"/>
        <w:tabs>
          <w:tab w:val="right" w:leader="dot" w:pos="9354"/>
        </w:tabs>
      </w:pPr>
      <w:r>
        <w:fldChar w:fldCharType="begin"/>
      </w:r>
      <w:r>
        <w:instrText xml:space="preserve"> HYPERLINK \l "_Toc22827" </w:instrText>
      </w:r>
      <w:r>
        <w:fldChar w:fldCharType="separate"/>
      </w:r>
      <w:r>
        <w:rPr>
          <w:rFonts w:hint="eastAsia" w:ascii="黑体" w:eastAsia="黑体"/>
        </w:rPr>
        <w:t xml:space="preserve">6 </w:t>
      </w:r>
      <w:r>
        <w:rPr>
          <w:rFonts w:hint="eastAsia"/>
        </w:rPr>
        <w:t>森林草原火灾扑救火场实战数据协同</w:t>
      </w:r>
      <w:r>
        <w:tab/>
      </w:r>
      <w:r>
        <w:fldChar w:fldCharType="begin"/>
      </w:r>
      <w:r>
        <w:instrText xml:space="preserve"> PAGEREF _Toc22827 \h </w:instrText>
      </w:r>
      <w:r>
        <w:fldChar w:fldCharType="separate"/>
      </w:r>
      <w:r>
        <w:t>8</w:t>
      </w:r>
      <w:r>
        <w:fldChar w:fldCharType="end"/>
      </w:r>
      <w:r>
        <w:fldChar w:fldCharType="end"/>
      </w:r>
    </w:p>
    <w:p w14:paraId="204E97FD">
      <w:pPr>
        <w:pStyle w:val="25"/>
        <w:tabs>
          <w:tab w:val="right" w:leader="dot" w:pos="9354"/>
          <w:tab w:val="clear" w:pos="9344"/>
        </w:tabs>
      </w:pPr>
      <w:r>
        <w:fldChar w:fldCharType="begin"/>
      </w:r>
      <w:r>
        <w:instrText xml:space="preserve"> HYPERLINK \l "_Toc9082" </w:instrText>
      </w:r>
      <w:r>
        <w:fldChar w:fldCharType="separate"/>
      </w:r>
      <w:r>
        <w:rPr>
          <w:rFonts w:hint="eastAsia" w:ascii="黑体" w:hAnsi="Times New Roman" w:eastAsia="黑体"/>
          <w:kern w:val="0"/>
          <w14:scene3d w14:prst="orthographicFront">
            <w14:lightRig w14:rig="threePt" w14:dir="t">
              <w14:rot w14:lat="0" w14:lon="0" w14:rev="0"/>
            </w14:lightRig>
          </w14:scene3d>
        </w:rPr>
        <w:t xml:space="preserve">6.1 </w:t>
      </w:r>
      <w:r>
        <w:rPr>
          <w:rFonts w:hint="eastAsia"/>
        </w:rPr>
        <w:t>数据采集类型</w:t>
      </w:r>
      <w:r>
        <w:tab/>
      </w:r>
      <w:r>
        <w:fldChar w:fldCharType="begin"/>
      </w:r>
      <w:r>
        <w:instrText xml:space="preserve"> PAGEREF _Toc9082 \h </w:instrText>
      </w:r>
      <w:r>
        <w:fldChar w:fldCharType="separate"/>
      </w:r>
      <w:r>
        <w:t>8</w:t>
      </w:r>
      <w:r>
        <w:fldChar w:fldCharType="end"/>
      </w:r>
      <w:r>
        <w:fldChar w:fldCharType="end"/>
      </w:r>
    </w:p>
    <w:p w14:paraId="0229844E">
      <w:pPr>
        <w:pStyle w:val="25"/>
        <w:tabs>
          <w:tab w:val="right" w:leader="dot" w:pos="9354"/>
          <w:tab w:val="clear" w:pos="9344"/>
        </w:tabs>
      </w:pPr>
      <w:r>
        <w:fldChar w:fldCharType="begin"/>
      </w:r>
      <w:r>
        <w:instrText xml:space="preserve"> HYPERLINK \l "_Toc28007" </w:instrText>
      </w:r>
      <w:r>
        <w:fldChar w:fldCharType="separate"/>
      </w:r>
      <w:r>
        <w:rPr>
          <w:rFonts w:hint="eastAsia" w:ascii="黑体" w:hAnsi="Times New Roman" w:eastAsia="黑体"/>
          <w:kern w:val="0"/>
          <w14:scene3d w14:prst="orthographicFront">
            <w14:lightRig w14:rig="threePt" w14:dir="t">
              <w14:rot w14:lat="0" w14:lon="0" w14:rev="0"/>
            </w14:lightRig>
          </w14:scene3d>
        </w:rPr>
        <w:t xml:space="preserve">6.2 </w:t>
      </w:r>
      <w:r>
        <w:rPr>
          <w:rFonts w:hint="eastAsia"/>
        </w:rPr>
        <w:t>数据共享要求</w:t>
      </w:r>
      <w:r>
        <w:tab/>
      </w:r>
      <w:r>
        <w:fldChar w:fldCharType="begin"/>
      </w:r>
      <w:r>
        <w:instrText xml:space="preserve"> PAGEREF _Toc28007 \h </w:instrText>
      </w:r>
      <w:r>
        <w:fldChar w:fldCharType="separate"/>
      </w:r>
      <w:r>
        <w:t>10</w:t>
      </w:r>
      <w:r>
        <w:fldChar w:fldCharType="end"/>
      </w:r>
      <w:r>
        <w:fldChar w:fldCharType="end"/>
      </w:r>
    </w:p>
    <w:p w14:paraId="0DC54B14">
      <w:pPr>
        <w:pStyle w:val="25"/>
        <w:tabs>
          <w:tab w:val="right" w:leader="dot" w:pos="9354"/>
          <w:tab w:val="clear" w:pos="9344"/>
        </w:tabs>
      </w:pPr>
      <w:r>
        <w:fldChar w:fldCharType="begin"/>
      </w:r>
      <w:r>
        <w:instrText xml:space="preserve"> HYPERLINK \l "_Toc26688" </w:instrText>
      </w:r>
      <w:r>
        <w:fldChar w:fldCharType="separate"/>
      </w:r>
      <w:r>
        <w:rPr>
          <w:rFonts w:hint="eastAsia" w:ascii="黑体" w:hAnsi="Times New Roman" w:eastAsia="黑体"/>
          <w:kern w:val="0"/>
          <w14:scene3d w14:prst="orthographicFront">
            <w14:lightRig w14:rig="threePt" w14:dir="t">
              <w14:rot w14:lat="0" w14:lon="0" w14:rev="0"/>
            </w14:lightRig>
          </w14:scene3d>
        </w:rPr>
        <w:t xml:space="preserve">6.3 </w:t>
      </w:r>
      <w:r>
        <w:rPr>
          <w:rFonts w:hint="eastAsia"/>
        </w:rPr>
        <w:t>数据更新与维护</w:t>
      </w:r>
      <w:r>
        <w:tab/>
      </w:r>
      <w:r>
        <w:fldChar w:fldCharType="begin"/>
      </w:r>
      <w:r>
        <w:instrText xml:space="preserve"> PAGEREF _Toc26688 \h </w:instrText>
      </w:r>
      <w:r>
        <w:fldChar w:fldCharType="separate"/>
      </w:r>
      <w:r>
        <w:t>10</w:t>
      </w:r>
      <w:r>
        <w:fldChar w:fldCharType="end"/>
      </w:r>
      <w:r>
        <w:fldChar w:fldCharType="end"/>
      </w:r>
    </w:p>
    <w:p w14:paraId="64DDEE38">
      <w:pPr>
        <w:pStyle w:val="25"/>
        <w:tabs>
          <w:tab w:val="right" w:leader="dot" w:pos="9354"/>
          <w:tab w:val="clear" w:pos="9344"/>
        </w:tabs>
      </w:pPr>
      <w:r>
        <w:fldChar w:fldCharType="begin"/>
      </w:r>
      <w:r>
        <w:instrText xml:space="preserve"> HYPERLINK \l "_Toc13384" </w:instrText>
      </w:r>
      <w:r>
        <w:fldChar w:fldCharType="separate"/>
      </w:r>
      <w:r>
        <w:rPr>
          <w:rFonts w:hint="eastAsia" w:ascii="黑体" w:hAnsi="Times New Roman" w:eastAsia="黑体"/>
          <w:kern w:val="0"/>
          <w14:scene3d w14:prst="orthographicFront">
            <w14:lightRig w14:rig="threePt" w14:dir="t">
              <w14:rot w14:lat="0" w14:lon="0" w14:rev="0"/>
            </w14:lightRig>
          </w14:scene3d>
        </w:rPr>
        <w:t xml:space="preserve">6.4 </w:t>
      </w:r>
      <w:r>
        <w:rPr>
          <w:rFonts w:hint="eastAsia"/>
        </w:rPr>
        <w:t>数据安全</w:t>
      </w:r>
      <w:r>
        <w:tab/>
      </w:r>
      <w:r>
        <w:fldChar w:fldCharType="begin"/>
      </w:r>
      <w:r>
        <w:instrText xml:space="preserve"> PAGEREF _Toc13384 \h </w:instrText>
      </w:r>
      <w:r>
        <w:fldChar w:fldCharType="separate"/>
      </w:r>
      <w:r>
        <w:t>10</w:t>
      </w:r>
      <w:r>
        <w:fldChar w:fldCharType="end"/>
      </w:r>
      <w:r>
        <w:fldChar w:fldCharType="end"/>
      </w:r>
    </w:p>
    <w:p w14:paraId="3108D4C7">
      <w:pPr>
        <w:pStyle w:val="25"/>
        <w:tabs>
          <w:tab w:val="right" w:leader="dot" w:pos="9354"/>
          <w:tab w:val="clear" w:pos="9344"/>
        </w:tabs>
      </w:pPr>
      <w:r>
        <w:fldChar w:fldCharType="begin"/>
      </w:r>
      <w:r>
        <w:instrText xml:space="preserve"> HYPERLINK \l "_Toc1831" </w:instrText>
      </w:r>
      <w:r>
        <w:fldChar w:fldCharType="separate"/>
      </w:r>
      <w:r>
        <w:rPr>
          <w:rFonts w:hint="eastAsia" w:ascii="黑体" w:hAnsi="Times New Roman" w:eastAsia="黑体"/>
          <w:kern w:val="0"/>
          <w14:scene3d w14:prst="orthographicFront">
            <w14:lightRig w14:rig="threePt" w14:dir="t">
              <w14:rot w14:lat="0" w14:lon="0" w14:rev="0"/>
            </w14:lightRig>
          </w14:scene3d>
        </w:rPr>
        <w:t xml:space="preserve">6.5 </w:t>
      </w:r>
      <w:r>
        <w:rPr>
          <w:rFonts w:hint="eastAsia"/>
        </w:rPr>
        <w:t>数据应用分析</w:t>
      </w:r>
      <w:r>
        <w:tab/>
      </w:r>
      <w:r>
        <w:fldChar w:fldCharType="begin"/>
      </w:r>
      <w:r>
        <w:instrText xml:space="preserve"> PAGEREF _Toc1831 \h </w:instrText>
      </w:r>
      <w:r>
        <w:fldChar w:fldCharType="separate"/>
      </w:r>
      <w:r>
        <w:t>11</w:t>
      </w:r>
      <w:r>
        <w:fldChar w:fldCharType="end"/>
      </w:r>
      <w:r>
        <w:fldChar w:fldCharType="end"/>
      </w:r>
    </w:p>
    <w:p w14:paraId="3AD7A87D">
      <w:pPr>
        <w:pStyle w:val="20"/>
        <w:tabs>
          <w:tab w:val="right" w:leader="dot" w:pos="9354"/>
        </w:tabs>
      </w:pPr>
      <w:r>
        <w:fldChar w:fldCharType="begin"/>
      </w:r>
      <w:r>
        <w:instrText xml:space="preserve"> HYPERLINK \l "_Toc25495" </w:instrText>
      </w:r>
      <w:r>
        <w:fldChar w:fldCharType="separate"/>
      </w:r>
      <w:r>
        <w:rPr>
          <w:rFonts w:hint="eastAsia" w:ascii="黑体" w:eastAsia="黑体"/>
        </w:rPr>
        <w:t xml:space="preserve">7 </w:t>
      </w:r>
      <w:r>
        <w:rPr>
          <w:rFonts w:hint="eastAsia"/>
        </w:rPr>
        <w:t>森林草原火灾地空一体标准协同</w:t>
      </w:r>
      <w:r>
        <w:tab/>
      </w:r>
      <w:r>
        <w:fldChar w:fldCharType="begin"/>
      </w:r>
      <w:r>
        <w:instrText xml:space="preserve"> PAGEREF _Toc25495 \h </w:instrText>
      </w:r>
      <w:r>
        <w:fldChar w:fldCharType="separate"/>
      </w:r>
      <w:r>
        <w:t>11</w:t>
      </w:r>
      <w:r>
        <w:fldChar w:fldCharType="end"/>
      </w:r>
      <w:r>
        <w:fldChar w:fldCharType="end"/>
      </w:r>
    </w:p>
    <w:p w14:paraId="7E67A736">
      <w:pPr>
        <w:pStyle w:val="25"/>
        <w:tabs>
          <w:tab w:val="right" w:leader="dot" w:pos="9354"/>
          <w:tab w:val="clear" w:pos="9344"/>
        </w:tabs>
      </w:pPr>
      <w:r>
        <w:fldChar w:fldCharType="begin"/>
      </w:r>
      <w:r>
        <w:instrText xml:space="preserve"> HYPERLINK \l "_Toc8522" </w:instrText>
      </w:r>
      <w:r>
        <w:fldChar w:fldCharType="separate"/>
      </w:r>
      <w:r>
        <w:rPr>
          <w:rFonts w:hint="eastAsia" w:ascii="黑体" w:hAnsi="Times New Roman" w:eastAsia="黑体"/>
          <w:kern w:val="0"/>
          <w14:scene3d w14:prst="orthographicFront">
            <w14:lightRig w14:rig="threePt" w14:dir="t">
              <w14:rot w14:lat="0" w14:lon="0" w14:rev="0"/>
            </w14:lightRig>
          </w14:scene3d>
        </w:rPr>
        <w:t xml:space="preserve">7.1 </w:t>
      </w:r>
      <w:r>
        <w:rPr>
          <w:rFonts w:hint="eastAsia"/>
        </w:rPr>
        <w:t>协同基础信息标准</w:t>
      </w:r>
      <w:r>
        <w:tab/>
      </w:r>
      <w:r>
        <w:fldChar w:fldCharType="begin"/>
      </w:r>
      <w:r>
        <w:instrText xml:space="preserve"> PAGEREF _Toc8522 \h </w:instrText>
      </w:r>
      <w:r>
        <w:fldChar w:fldCharType="separate"/>
      </w:r>
      <w:r>
        <w:t>11</w:t>
      </w:r>
      <w:r>
        <w:fldChar w:fldCharType="end"/>
      </w:r>
      <w:r>
        <w:fldChar w:fldCharType="end"/>
      </w:r>
    </w:p>
    <w:p w14:paraId="6986C0B8">
      <w:pPr>
        <w:pStyle w:val="25"/>
        <w:tabs>
          <w:tab w:val="right" w:leader="dot" w:pos="9354"/>
          <w:tab w:val="clear" w:pos="9344"/>
        </w:tabs>
      </w:pPr>
      <w:r>
        <w:fldChar w:fldCharType="begin"/>
      </w:r>
      <w:r>
        <w:instrText xml:space="preserve"> HYPERLINK \l "_Toc14487" </w:instrText>
      </w:r>
      <w:r>
        <w:fldChar w:fldCharType="separate"/>
      </w:r>
      <w:r>
        <w:rPr>
          <w:rFonts w:hint="eastAsia" w:ascii="黑体" w:hAnsi="Times New Roman" w:eastAsia="黑体"/>
          <w:kern w:val="0"/>
          <w14:scene3d w14:prst="orthographicFront">
            <w14:lightRig w14:rig="threePt" w14:dir="t">
              <w14:rot w14:lat="0" w14:lon="0" w14:rev="0"/>
            </w14:lightRig>
          </w14:scene3d>
        </w:rPr>
        <w:t xml:space="preserve">7.2 </w:t>
      </w:r>
      <w:r>
        <w:rPr>
          <w:rFonts w:hint="eastAsia"/>
        </w:rPr>
        <w:t>协同通信与指令标准</w:t>
      </w:r>
      <w:r>
        <w:tab/>
      </w:r>
      <w:r>
        <w:fldChar w:fldCharType="begin"/>
      </w:r>
      <w:r>
        <w:instrText xml:space="preserve"> PAGEREF _Toc14487 \h </w:instrText>
      </w:r>
      <w:r>
        <w:fldChar w:fldCharType="separate"/>
      </w:r>
      <w:r>
        <w:t>11</w:t>
      </w:r>
      <w:r>
        <w:fldChar w:fldCharType="end"/>
      </w:r>
      <w:r>
        <w:fldChar w:fldCharType="end"/>
      </w:r>
    </w:p>
    <w:p w14:paraId="719C47A7">
      <w:pPr>
        <w:pStyle w:val="25"/>
        <w:tabs>
          <w:tab w:val="right" w:leader="dot" w:pos="9354"/>
          <w:tab w:val="clear" w:pos="9344"/>
        </w:tabs>
      </w:pPr>
      <w:r>
        <w:fldChar w:fldCharType="begin"/>
      </w:r>
      <w:r>
        <w:instrText xml:space="preserve"> HYPERLINK \l "_Toc25904" </w:instrText>
      </w:r>
      <w:r>
        <w:fldChar w:fldCharType="separate"/>
      </w:r>
      <w:r>
        <w:rPr>
          <w:rFonts w:hint="eastAsia" w:ascii="黑体" w:hAnsi="Times New Roman" w:eastAsia="黑体"/>
          <w:kern w:val="0"/>
          <w14:scene3d w14:prst="orthographicFront">
            <w14:lightRig w14:rig="threePt" w14:dir="t">
              <w14:rot w14:lat="0" w14:lon="0" w14:rev="0"/>
            </w14:lightRig>
          </w14:scene3d>
        </w:rPr>
        <w:t xml:space="preserve">7.3 </w:t>
      </w:r>
      <w:r>
        <w:rPr>
          <w:rFonts w:hint="eastAsia"/>
        </w:rPr>
        <w:t>协同灭火标准</w:t>
      </w:r>
      <w:r>
        <w:tab/>
      </w:r>
      <w:r>
        <w:fldChar w:fldCharType="begin"/>
      </w:r>
      <w:r>
        <w:instrText xml:space="preserve"> PAGEREF _Toc25904 \h </w:instrText>
      </w:r>
      <w:r>
        <w:fldChar w:fldCharType="separate"/>
      </w:r>
      <w:r>
        <w:t>12</w:t>
      </w:r>
      <w:r>
        <w:fldChar w:fldCharType="end"/>
      </w:r>
      <w:r>
        <w:fldChar w:fldCharType="end"/>
      </w:r>
    </w:p>
    <w:p w14:paraId="1375D8B1">
      <w:pPr>
        <w:pStyle w:val="20"/>
        <w:tabs>
          <w:tab w:val="right" w:leader="dot" w:pos="9354"/>
        </w:tabs>
      </w:pPr>
      <w:r>
        <w:fldChar w:fldCharType="begin"/>
      </w:r>
      <w:r>
        <w:instrText xml:space="preserve"> HYPERLINK \l "_Toc7381" </w:instrText>
      </w:r>
      <w:r>
        <w:fldChar w:fldCharType="separate"/>
      </w:r>
      <w:r>
        <w:rPr>
          <w:rFonts w:hint="eastAsia" w:ascii="黑体" w:eastAsia="黑体"/>
        </w:rPr>
        <w:t xml:space="preserve">8 </w:t>
      </w:r>
      <w:r>
        <w:rPr>
          <w:rFonts w:hint="eastAsia"/>
        </w:rPr>
        <w:t>地空协同安全保障</w:t>
      </w:r>
      <w:r>
        <w:tab/>
      </w:r>
      <w:r>
        <w:fldChar w:fldCharType="begin"/>
      </w:r>
      <w:r>
        <w:instrText xml:space="preserve"> PAGEREF _Toc7381 \h </w:instrText>
      </w:r>
      <w:r>
        <w:fldChar w:fldCharType="separate"/>
      </w:r>
      <w:r>
        <w:t>12</w:t>
      </w:r>
      <w:r>
        <w:fldChar w:fldCharType="end"/>
      </w:r>
      <w:r>
        <w:fldChar w:fldCharType="end"/>
      </w:r>
    </w:p>
    <w:p w14:paraId="2B06BE11">
      <w:pPr>
        <w:pStyle w:val="25"/>
        <w:tabs>
          <w:tab w:val="right" w:leader="dot" w:pos="9354"/>
          <w:tab w:val="clear" w:pos="9344"/>
        </w:tabs>
      </w:pPr>
      <w:r>
        <w:fldChar w:fldCharType="begin"/>
      </w:r>
      <w:r>
        <w:instrText xml:space="preserve"> HYPERLINK \l "_Toc16075" </w:instrText>
      </w:r>
      <w:r>
        <w:fldChar w:fldCharType="separate"/>
      </w:r>
      <w:r>
        <w:rPr>
          <w:rFonts w:hint="eastAsia" w:ascii="黑体" w:hAnsi="Times New Roman" w:eastAsia="黑体"/>
          <w:kern w:val="0"/>
          <w14:scene3d w14:prst="orthographicFront">
            <w14:lightRig w14:rig="threePt" w14:dir="t">
              <w14:rot w14:lat="0" w14:lon="0" w14:rev="0"/>
            </w14:lightRig>
          </w14:scene3d>
        </w:rPr>
        <w:t xml:space="preserve">8.1 </w:t>
      </w:r>
      <w:r>
        <w:rPr>
          <w:rFonts w:hint="eastAsia"/>
        </w:rPr>
        <w:t>作业安全</w:t>
      </w:r>
      <w:r>
        <w:tab/>
      </w:r>
      <w:r>
        <w:fldChar w:fldCharType="begin"/>
      </w:r>
      <w:r>
        <w:instrText xml:space="preserve"> PAGEREF _Toc16075 \h </w:instrText>
      </w:r>
      <w:r>
        <w:fldChar w:fldCharType="separate"/>
      </w:r>
      <w:r>
        <w:t>12</w:t>
      </w:r>
      <w:r>
        <w:fldChar w:fldCharType="end"/>
      </w:r>
      <w:r>
        <w:fldChar w:fldCharType="end"/>
      </w:r>
    </w:p>
    <w:p w14:paraId="3CB65BC2">
      <w:pPr>
        <w:pStyle w:val="25"/>
        <w:tabs>
          <w:tab w:val="right" w:leader="dot" w:pos="9354"/>
          <w:tab w:val="clear" w:pos="9344"/>
        </w:tabs>
      </w:pPr>
      <w:r>
        <w:fldChar w:fldCharType="begin"/>
      </w:r>
      <w:r>
        <w:instrText xml:space="preserve"> HYPERLINK \l "_Toc15020" </w:instrText>
      </w:r>
      <w:r>
        <w:fldChar w:fldCharType="separate"/>
      </w:r>
      <w:r>
        <w:rPr>
          <w:rFonts w:hint="eastAsia" w:ascii="黑体" w:hAnsi="Times New Roman" w:eastAsia="黑体"/>
          <w:kern w:val="0"/>
          <w14:scene3d w14:prst="orthographicFront">
            <w14:lightRig w14:rig="threePt" w14:dir="t">
              <w14:rot w14:lat="0" w14:lon="0" w14:rev="0"/>
            </w14:lightRig>
          </w14:scene3d>
        </w:rPr>
        <w:t xml:space="preserve">8.2 </w:t>
      </w:r>
      <w:r>
        <w:rPr>
          <w:rFonts w:hint="eastAsia"/>
        </w:rPr>
        <w:t>应急管理</w:t>
      </w:r>
      <w:r>
        <w:tab/>
      </w:r>
      <w:r>
        <w:fldChar w:fldCharType="begin"/>
      </w:r>
      <w:r>
        <w:instrText xml:space="preserve"> PAGEREF _Toc15020 \h </w:instrText>
      </w:r>
      <w:r>
        <w:fldChar w:fldCharType="separate"/>
      </w:r>
      <w:r>
        <w:t>13</w:t>
      </w:r>
      <w:r>
        <w:fldChar w:fldCharType="end"/>
      </w:r>
      <w:r>
        <w:fldChar w:fldCharType="end"/>
      </w:r>
    </w:p>
    <w:p w14:paraId="3AEAE330">
      <w:pPr>
        <w:pStyle w:val="20"/>
        <w:tabs>
          <w:tab w:val="right" w:leader="dot" w:pos="9354"/>
        </w:tabs>
      </w:pPr>
      <w:r>
        <w:fldChar w:fldCharType="begin"/>
      </w:r>
      <w:r>
        <w:instrText xml:space="preserve"> HYPERLINK \l "_Toc11375" </w:instrText>
      </w:r>
      <w:r>
        <w:fldChar w:fldCharType="separate"/>
      </w:r>
      <w:r>
        <w:rPr>
          <w:rFonts w:hint="eastAsia"/>
          <w:spacing w:val="105"/>
        </w:rPr>
        <w:t>参考文</w:t>
      </w:r>
      <w:r>
        <w:rPr>
          <w:rFonts w:hint="eastAsia"/>
        </w:rPr>
        <w:t>献</w:t>
      </w:r>
      <w:r>
        <w:tab/>
      </w:r>
      <w:r>
        <w:fldChar w:fldCharType="begin"/>
      </w:r>
      <w:r>
        <w:instrText xml:space="preserve"> PAGEREF _Toc11375 \h </w:instrText>
      </w:r>
      <w:r>
        <w:fldChar w:fldCharType="separate"/>
      </w:r>
      <w:r>
        <w:t>15</w:t>
      </w:r>
      <w:r>
        <w:fldChar w:fldCharType="end"/>
      </w:r>
      <w:r>
        <w:fldChar w:fldCharType="end"/>
      </w:r>
    </w:p>
    <w:p w14:paraId="601A8DBD">
      <w:pPr>
        <w:pStyle w:val="95"/>
        <w:spacing w:after="360"/>
        <w:sectPr>
          <w:headerReference r:id="rId9" w:type="default"/>
          <w:footerReference r:id="rId11" w:type="default"/>
          <w:headerReference r:id="rId10" w:type="even"/>
          <w:pgSz w:w="11906" w:h="16838"/>
          <w:pgMar w:top="1928" w:right="1134" w:bottom="1134" w:left="1134" w:header="1418" w:footer="1134" w:gutter="284"/>
          <w:pgNumType w:fmt="upperRoman" w:start="1"/>
          <w:cols w:space="425" w:num="1"/>
          <w:formProt w:val="0"/>
          <w:docGrid w:linePitch="312" w:charSpace="0"/>
        </w:sectPr>
      </w:pPr>
      <w:r>
        <w:fldChar w:fldCharType="end"/>
      </w:r>
    </w:p>
    <w:bookmarkEnd w:id="15"/>
    <w:p w14:paraId="75BC7BAD">
      <w:pPr>
        <w:pStyle w:val="93"/>
        <w:spacing w:after="360"/>
      </w:pPr>
      <w:bookmarkStart w:id="21" w:name="_Toc18524"/>
      <w:bookmarkStart w:id="22" w:name="_Toc150951484"/>
      <w:bookmarkStart w:id="23" w:name="_Toc29073"/>
      <w:bookmarkStart w:id="24" w:name="BookMark2"/>
      <w:r>
        <w:rPr>
          <w:spacing w:val="320"/>
        </w:rPr>
        <w:t>前</w:t>
      </w:r>
      <w:r>
        <w:t>言</w:t>
      </w:r>
      <w:bookmarkEnd w:id="16"/>
      <w:bookmarkEnd w:id="17"/>
      <w:bookmarkEnd w:id="18"/>
      <w:bookmarkEnd w:id="19"/>
      <w:bookmarkEnd w:id="20"/>
      <w:bookmarkEnd w:id="21"/>
      <w:bookmarkEnd w:id="22"/>
      <w:bookmarkEnd w:id="23"/>
    </w:p>
    <w:p w14:paraId="5AE18AE4">
      <w:pPr>
        <w:pStyle w:val="60"/>
        <w:ind w:firstLine="420"/>
      </w:pPr>
      <w:r>
        <w:rPr>
          <w:rFonts w:hint="eastAsia"/>
        </w:rPr>
        <w:t>本文件按照GB/T 1.1—2020《标准化工作导则  第1部分：标准化文件的结构和起草规则》的规定起草。</w:t>
      </w:r>
    </w:p>
    <w:p w14:paraId="199A2E2A">
      <w:pPr>
        <w:pStyle w:val="60"/>
        <w:ind w:firstLine="420"/>
      </w:pPr>
      <w:r>
        <w:rPr>
          <w:rFonts w:hint="eastAsia"/>
        </w:rPr>
        <w:t>请注意本文件的某些内容可能涉及专利。本文件的发布机构不承担识别专利的责任。</w:t>
      </w:r>
    </w:p>
    <w:p w14:paraId="4AE9B2DC">
      <w:pPr>
        <w:pStyle w:val="60"/>
        <w:ind w:firstLine="420"/>
      </w:pPr>
      <w:r>
        <w:rPr>
          <w:rFonts w:hint="eastAsia"/>
        </w:rPr>
        <w:t>本文件由应急管理部大数据中心、中国消防救援学院提出。</w:t>
      </w:r>
    </w:p>
    <w:p w14:paraId="027F8535">
      <w:pPr>
        <w:pStyle w:val="60"/>
        <w:ind w:firstLine="420"/>
      </w:pPr>
      <w:r>
        <w:rPr>
          <w:rFonts w:hint="eastAsia"/>
        </w:rPr>
        <w:t>本文件由公共安全科学技术学会归口。</w:t>
      </w:r>
    </w:p>
    <w:p w14:paraId="7125E937">
      <w:pPr>
        <w:pStyle w:val="60"/>
        <w:ind w:firstLine="420"/>
      </w:pPr>
      <w:r>
        <w:rPr>
          <w:rFonts w:hint="eastAsia"/>
        </w:rPr>
        <w:t>本文件起草单位：应急管理部大数据中心、中国消防救援学院。</w:t>
      </w:r>
    </w:p>
    <w:p w14:paraId="5670CE34">
      <w:pPr>
        <w:pStyle w:val="60"/>
        <w:ind w:firstLine="420"/>
      </w:pPr>
      <w:r>
        <w:rPr>
          <w:rFonts w:hint="eastAsia"/>
        </w:rPr>
        <w:t>本文件主要起草人：张志、汪振、柳树林、纪任鑫、高伟伟、贾泽宇、李晏松、刘韶菲、边路、黄晓辉、李信、李冉、李虹、李俊、訾栓紧、张彦斌。</w:t>
      </w:r>
    </w:p>
    <w:p w14:paraId="40A38EF6">
      <w:pPr>
        <w:pStyle w:val="60"/>
        <w:ind w:firstLine="420"/>
      </w:pPr>
    </w:p>
    <w:p w14:paraId="5DB046B0">
      <w:pPr>
        <w:pStyle w:val="60"/>
        <w:ind w:firstLine="420"/>
        <w:sectPr>
          <w:pgSz w:w="11906" w:h="16838"/>
          <w:pgMar w:top="1928" w:right="1134" w:bottom="1134" w:left="1134" w:header="1418" w:footer="1134" w:gutter="284"/>
          <w:pgNumType w:fmt="upperRoman"/>
          <w:cols w:space="425" w:num="1"/>
          <w:formProt w:val="0"/>
          <w:docGrid w:linePitch="312" w:charSpace="0"/>
        </w:sectPr>
      </w:pPr>
    </w:p>
    <w:bookmarkEnd w:id="24"/>
    <w:p w14:paraId="4E94A72D">
      <w:pPr>
        <w:pStyle w:val="93"/>
        <w:numPr>
          <w:ilvl w:val="0"/>
          <w:numId w:val="0"/>
        </w:numPr>
        <w:spacing w:after="360"/>
      </w:pPr>
      <w:bookmarkStart w:id="25" w:name="_Toc4091"/>
      <w:bookmarkStart w:id="26" w:name="_Toc14512"/>
      <w:bookmarkStart w:id="27" w:name="_Toc150951485"/>
      <w:bookmarkStart w:id="28" w:name="BookMark3"/>
      <w:r>
        <w:rPr>
          <w:spacing w:val="320"/>
        </w:rPr>
        <w:t>引</w:t>
      </w:r>
      <w:r>
        <w:t>言</w:t>
      </w:r>
      <w:bookmarkEnd w:id="25"/>
      <w:bookmarkEnd w:id="26"/>
      <w:bookmarkEnd w:id="27"/>
    </w:p>
    <w:p w14:paraId="37DE5000">
      <w:pPr>
        <w:pStyle w:val="60"/>
        <w:ind w:firstLine="420"/>
      </w:pPr>
      <w:r>
        <w:rPr>
          <w:rFonts w:hint="eastAsia"/>
        </w:rPr>
        <w:t>近年来，在全球气候变化的背景下，极端高温、持续干旱等极端天气事件频发，全球森林草原火灾风险持续加剧，火灾呈现出突发性强、蔓延速度快、扑救难度大的特点，对森林草原火灾扑救工作提出了更高的要求。我国森林草原资源丰富，受气候变化影响，森林草原防灭火形势日益严峻。近年来发生的多起森林火灾扑救人员伤亡事件，引起了各级应急管理和消防救援部门对森林火灾扑救安全高度重视。2023年中共中央办公厅、国务院办公厅印发《关于全面加强新形势下森林草原防灭火工作的意见》，明确提出“火灾扑救向推广以水灭火、强化空地一体纵深拓展”的工作要求，将地空协同扑救作为森林草原火灾处置的重要手段，</w:t>
      </w:r>
      <w:r>
        <w:rPr>
          <w:rFonts w:ascii="sans-serif" w:hAnsi="sans-serif" w:eastAsia="sans-serif" w:cs="sans-serif"/>
          <w:color w:val="2E2B29"/>
          <w:szCs w:val="21"/>
          <w:shd w:val="clear" w:color="auto" w:fill="FCFAF8"/>
        </w:rPr>
        <w:t>为推进航空消防与地面力量协同作战提供了政策遵循</w:t>
      </w:r>
      <w:r>
        <w:rPr>
          <w:rFonts w:hint="eastAsia"/>
        </w:rPr>
        <w:t>。众多森林草原火灾扑救实践经验表明，</w:t>
      </w:r>
      <w:r>
        <w:rPr>
          <w:rFonts w:ascii="sans-serif" w:hAnsi="sans-serif" w:eastAsia="sans-serif" w:cs="sans-serif"/>
          <w:color w:val="2E2B29"/>
          <w:szCs w:val="21"/>
          <w:shd w:val="clear" w:color="auto" w:fill="FCFAF8"/>
        </w:rPr>
        <w:t>航空消防力量与地面扑火队伍的有机协同，能够显著提升火灾扑救效率，降低灾害损失，</w:t>
      </w:r>
      <w:r>
        <w:rPr>
          <w:rFonts w:hint="eastAsia"/>
        </w:rPr>
        <w:t>降低灾害损失、避免扑救人员伤亡。然而，当前森林草原火灾扑救地空协同作业在业务流程衔接、火场信息共享、地空一体指挥等方面尚缺乏统一、规范的技术标准，制约了地空协同效能的充分发挥。建立规范统一的地空协同扑救技术标准是提升火灾扑救效能的重要前提。</w:t>
      </w:r>
      <w:r>
        <w:rPr>
          <w:rFonts w:ascii="sans-serif" w:hAnsi="sans-serif" w:eastAsia="sans-serif" w:cs="sans-serif"/>
          <w:color w:val="2E2B29"/>
          <w:szCs w:val="21"/>
          <w:shd w:val="clear" w:color="auto" w:fill="FCFAF8"/>
        </w:rPr>
        <w:t>本文件主要围绕森林草原火灾扑救地空协同的核心业务需求，</w:t>
      </w:r>
      <w:r>
        <w:rPr>
          <w:rFonts w:hint="eastAsia" w:ascii="sans-serif" w:hAnsi="sans-serif" w:cs="sans-serif"/>
          <w:color w:val="2E2B29"/>
          <w:szCs w:val="21"/>
          <w:shd w:val="clear" w:color="auto" w:fill="FCFAF8"/>
        </w:rPr>
        <w:t>通过</w:t>
      </w:r>
      <w:r>
        <w:rPr>
          <w:rFonts w:ascii="sans-serif" w:hAnsi="sans-serif" w:eastAsia="sans-serif" w:cs="sans-serif"/>
          <w:color w:val="2E2B29"/>
          <w:szCs w:val="21"/>
          <w:shd w:val="clear" w:color="auto" w:fill="FCFAF8"/>
        </w:rPr>
        <w:t>规范航空消防业务协同、火场数据协同、地空一体</w:t>
      </w:r>
      <w:r>
        <w:rPr>
          <w:rFonts w:hint="eastAsia" w:ascii="sans-serif" w:hAnsi="sans-serif" w:cs="sans-serif"/>
          <w:color w:val="2E2B29"/>
          <w:szCs w:val="21"/>
          <w:shd w:val="clear" w:color="auto" w:fill="FCFAF8"/>
        </w:rPr>
        <w:t>标准协同</w:t>
      </w:r>
      <w:r>
        <w:rPr>
          <w:rFonts w:ascii="sans-serif" w:hAnsi="sans-serif" w:eastAsia="sans-serif" w:cs="sans-serif"/>
          <w:color w:val="2E2B29"/>
          <w:szCs w:val="21"/>
          <w:shd w:val="clear" w:color="auto" w:fill="FCFAF8"/>
        </w:rPr>
        <w:t>等</w:t>
      </w:r>
      <w:r>
        <w:rPr>
          <w:rFonts w:hint="eastAsia" w:ascii="sans-serif" w:hAnsi="sans-serif" w:cs="sans-serif"/>
          <w:color w:val="2E2B29"/>
          <w:szCs w:val="21"/>
          <w:shd w:val="clear" w:color="auto" w:fill="FCFAF8"/>
        </w:rPr>
        <w:t>方面的</w:t>
      </w:r>
      <w:r>
        <w:rPr>
          <w:rFonts w:ascii="sans-serif" w:hAnsi="sans-serif" w:eastAsia="sans-serif" w:cs="sans-serif"/>
          <w:color w:val="2E2B29"/>
          <w:szCs w:val="21"/>
          <w:shd w:val="clear" w:color="auto" w:fill="FCFAF8"/>
        </w:rPr>
        <w:t>关键技术要求，推动实现航空消防力量与地面扑火队伍的深度融合与高效协作，</w:t>
      </w:r>
      <w:r>
        <w:rPr>
          <w:rFonts w:hint="eastAsia"/>
        </w:rPr>
        <w:t>为</w:t>
      </w:r>
      <w:r>
        <w:rPr>
          <w:rFonts w:hint="eastAsia" w:ascii="Calibri" w:hAnsi="Calibri"/>
          <w:kern w:val="2"/>
          <w:szCs w:val="21"/>
          <w:lang w:bidi="ar"/>
        </w:rPr>
        <w:t>开展</w:t>
      </w:r>
      <w:r>
        <w:rPr>
          <w:rFonts w:ascii="sans-serif" w:hAnsi="sans-serif" w:eastAsia="sans-serif" w:cs="sans-serif"/>
          <w:color w:val="2E2B29"/>
          <w:szCs w:val="21"/>
          <w:shd w:val="clear" w:color="auto" w:fill="FCFAF8"/>
        </w:rPr>
        <w:t>地空协同灭火的组织与实施，提升森林草原火灾快速扑救、科学扑救和安全扑救的能力水平</w:t>
      </w:r>
      <w:r>
        <w:rPr>
          <w:rFonts w:hint="eastAsia"/>
        </w:rPr>
        <w:t>提供技术支撑。</w:t>
      </w:r>
    </w:p>
    <w:p w14:paraId="66AFE3FE">
      <w:pPr>
        <w:pStyle w:val="60"/>
        <w:ind w:firstLine="420"/>
      </w:pPr>
    </w:p>
    <w:p w14:paraId="04CA78DE">
      <w:pPr>
        <w:pStyle w:val="60"/>
        <w:ind w:firstLine="420"/>
        <w:sectPr>
          <w:pgSz w:w="11906" w:h="16838"/>
          <w:pgMar w:top="1928" w:right="1134" w:bottom="1134" w:left="1134" w:header="1418" w:footer="1134" w:gutter="284"/>
          <w:pgNumType w:fmt="upperRoman"/>
          <w:cols w:space="425" w:num="1"/>
          <w:formProt w:val="0"/>
          <w:docGrid w:linePitch="312" w:charSpace="0"/>
        </w:sectPr>
      </w:pPr>
    </w:p>
    <w:bookmarkEnd w:id="28"/>
    <w:p w14:paraId="668B9E35">
      <w:pPr>
        <w:spacing w:line="20" w:lineRule="exact"/>
        <w:jc w:val="center"/>
        <w:rPr>
          <w:rFonts w:hint="eastAsia" w:ascii="黑体" w:hAnsi="黑体" w:eastAsia="黑体"/>
          <w:sz w:val="32"/>
          <w:szCs w:val="32"/>
        </w:rPr>
      </w:pPr>
      <w:bookmarkStart w:id="29" w:name="BookMark4"/>
    </w:p>
    <w:p w14:paraId="154154FD">
      <w:pPr>
        <w:spacing w:line="20" w:lineRule="exact"/>
        <w:jc w:val="center"/>
        <w:rPr>
          <w:rFonts w:hint="eastAsia" w:ascii="黑体" w:hAnsi="黑体" w:eastAsia="黑体"/>
          <w:sz w:val="32"/>
          <w:szCs w:val="32"/>
        </w:rPr>
      </w:pPr>
    </w:p>
    <w:sdt>
      <w:sdtPr>
        <w:tag w:val="NEW_STAND_NAME"/>
        <w:id w:val="595910757"/>
        <w:lock w:val="sdtLocked"/>
        <w:placeholder>
          <w:docPart w:val="6B2E1CA7FC10405D8B6CBB6D8BB963F3"/>
        </w:placeholder>
      </w:sdtPr>
      <w:sdtContent>
        <w:sdt>
          <w:sdtPr>
            <w:tag w:val="NEW_STAND_NAME"/>
            <w:id w:val="147465046"/>
            <w:lock w:val="sdtLocked"/>
            <w:placeholder>
              <w:docPart w:val="{5cb1782b-cd68-42db-bc55-b6fcad8c42b2}"/>
            </w:placeholder>
          </w:sdtPr>
          <w:sdtContent>
            <w:p w14:paraId="06661973">
              <w:pPr>
                <w:pStyle w:val="181"/>
                <w:spacing w:before="2" w:beforeLines="1" w:after="528" w:afterLines="220"/>
                <w:rPr>
                  <w:rFonts w:hint="eastAsia"/>
                </w:rPr>
              </w:pPr>
              <w:bookmarkStart w:id="30" w:name="NEW_STAND_NAME"/>
              <w:r>
                <w:rPr>
                  <w:rFonts w:hint="eastAsia"/>
                </w:rPr>
                <w:t>森林草原火灾扑救地空协同技术要求</w:t>
              </w:r>
            </w:p>
          </w:sdtContent>
        </w:sdt>
      </w:sdtContent>
    </w:sdt>
    <w:bookmarkEnd w:id="30"/>
    <w:p w14:paraId="15EAF259">
      <w:pPr>
        <w:pStyle w:val="108"/>
        <w:spacing w:before="240" w:after="240"/>
      </w:pPr>
      <w:bookmarkStart w:id="31" w:name="_Toc146618386"/>
      <w:bookmarkStart w:id="32" w:name="_Toc134607458"/>
      <w:bookmarkStart w:id="33" w:name="_Toc147753914"/>
      <w:bookmarkStart w:id="34" w:name="_Toc28902"/>
      <w:bookmarkStart w:id="35" w:name="_Toc26986771"/>
      <w:bookmarkStart w:id="36" w:name="_Toc147744719"/>
      <w:bookmarkStart w:id="37" w:name="_Toc24884218"/>
      <w:bookmarkStart w:id="38" w:name="_Toc150951486"/>
      <w:bookmarkStart w:id="39" w:name="_Toc97192964"/>
      <w:bookmarkStart w:id="40" w:name="_Toc26718930"/>
      <w:bookmarkStart w:id="41" w:name="_Toc17233333"/>
      <w:bookmarkStart w:id="42" w:name="_Toc134091049"/>
      <w:bookmarkStart w:id="43" w:name="_Toc22988"/>
      <w:bookmarkStart w:id="44" w:name="_Toc26986530"/>
      <w:bookmarkStart w:id="45" w:name="_Toc26648465"/>
      <w:bookmarkStart w:id="46" w:name="_Toc17233325"/>
      <w:bookmarkStart w:id="47" w:name="_Toc24884211"/>
      <w:r>
        <w:rPr>
          <w:rFonts w:hint="eastAsia"/>
        </w:rPr>
        <w:t>范围</w:t>
      </w:r>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p>
    <w:p w14:paraId="71600231">
      <w:pPr>
        <w:pStyle w:val="60"/>
        <w:ind w:firstLine="420"/>
      </w:pPr>
      <w:bookmarkStart w:id="48" w:name="_Toc24884219"/>
      <w:bookmarkStart w:id="49" w:name="_Toc17233326"/>
      <w:bookmarkStart w:id="50" w:name="_Toc17233334"/>
      <w:bookmarkStart w:id="51" w:name="_Toc26648466"/>
      <w:bookmarkStart w:id="52" w:name="_Toc24884212"/>
      <w:r>
        <w:rPr>
          <w:rFonts w:hint="eastAsia"/>
        </w:rPr>
        <w:t>本文件规定了森林草原火灾扑救过程中地空协同的基本要求、航空消防业务协同、火场实战数据协同和地空一体标准协同、地空协同安全保障的相关技术要求。</w:t>
      </w:r>
    </w:p>
    <w:p w14:paraId="0B41050B">
      <w:pPr>
        <w:pStyle w:val="60"/>
        <w:ind w:firstLine="420"/>
      </w:pPr>
      <w:r>
        <w:rPr>
          <w:rFonts w:hint="eastAsia" w:ascii="Calibri" w:hAnsi="Calibri"/>
          <w:kern w:val="2"/>
          <w:szCs w:val="21"/>
          <w:lang w:bidi="ar"/>
        </w:rPr>
        <w:t>本文件适用于地面扑火队伍和航空消防力量开展地空协同灭火作业组织与实施</w:t>
      </w:r>
      <w:r>
        <w:rPr>
          <w:rFonts w:hint="eastAsia"/>
        </w:rPr>
        <w:t>。</w:t>
      </w:r>
    </w:p>
    <w:p w14:paraId="586B388F">
      <w:pPr>
        <w:pStyle w:val="108"/>
        <w:spacing w:before="240" w:after="240"/>
      </w:pPr>
      <w:bookmarkStart w:id="53" w:name="_Toc134091050"/>
      <w:bookmarkStart w:id="54" w:name="_Toc26986772"/>
      <w:bookmarkStart w:id="55" w:name="_Toc26986531"/>
      <w:bookmarkStart w:id="56" w:name="_Toc26718931"/>
      <w:bookmarkStart w:id="57" w:name="_Toc147753915"/>
      <w:bookmarkStart w:id="58" w:name="_Toc147744720"/>
      <w:bookmarkStart w:id="59" w:name="_Toc18754"/>
      <w:bookmarkStart w:id="60" w:name="_Toc134607459"/>
      <w:bookmarkStart w:id="61" w:name="_Toc150951487"/>
      <w:bookmarkStart w:id="62" w:name="_Toc97192965"/>
      <w:bookmarkStart w:id="63" w:name="_Toc146618387"/>
      <w:bookmarkStart w:id="64" w:name="_Toc7421"/>
      <w:r>
        <w:rPr>
          <w:rFonts w:hint="eastAsia"/>
        </w:rPr>
        <w:t>规范性引用文件</w:t>
      </w:r>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p>
    <w:sdt>
      <w:sdtPr>
        <w:rPr>
          <w:rFonts w:hint="eastAsia"/>
        </w:rPr>
        <w:id w:val="715848253"/>
        <w:placeholder>
          <w:docPart w:val="CBBC8BCA96594C66AEF380264FE7F092"/>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p w14:paraId="24659D51">
          <w:pPr>
            <w:pStyle w:val="60"/>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6950FE52">
      <w:pPr>
        <w:pStyle w:val="60"/>
        <w:ind w:firstLine="420"/>
      </w:pPr>
      <w:bookmarkStart w:id="65" w:name="_Toc146618388"/>
      <w:bookmarkStart w:id="66" w:name="_Toc134091051"/>
      <w:bookmarkStart w:id="67" w:name="_Toc147753916"/>
      <w:bookmarkStart w:id="68" w:name="_Toc97192966"/>
      <w:bookmarkStart w:id="69" w:name="_Toc134607460"/>
      <w:bookmarkStart w:id="70" w:name="_Toc147744721"/>
      <w:bookmarkStart w:id="71" w:name="_Toc150951488"/>
      <w:r>
        <w:t>GB/T</w:t>
      </w:r>
      <w:r>
        <w:rPr>
          <w:rFonts w:hint="eastAsia"/>
        </w:rPr>
        <w:t xml:space="preserve"> </w:t>
      </w:r>
      <w:r>
        <w:t>1</w:t>
      </w:r>
      <w:r>
        <w:rPr>
          <w:rFonts w:hint="eastAsia"/>
        </w:rPr>
        <w:t>.1 标准化工作导则</w:t>
      </w:r>
    </w:p>
    <w:p w14:paraId="63397E15">
      <w:pPr>
        <w:pStyle w:val="60"/>
        <w:ind w:firstLine="420"/>
      </w:pPr>
      <w:r>
        <w:rPr>
          <w:rFonts w:hint="eastAsia"/>
        </w:rPr>
        <w:t>GB/T 17798 地理空间数据交换格式</w:t>
      </w:r>
    </w:p>
    <w:p w14:paraId="2FA6D3DB">
      <w:pPr>
        <w:pStyle w:val="60"/>
        <w:ind w:firstLine="420"/>
      </w:pPr>
      <w:r>
        <w:rPr>
          <w:rFonts w:hint="eastAsia"/>
        </w:rPr>
        <w:t>GB 22021 国家大地测量基本技术规定</w:t>
      </w:r>
    </w:p>
    <w:p w14:paraId="2E1A4570">
      <w:pPr>
        <w:pStyle w:val="60"/>
        <w:ind w:firstLine="420"/>
      </w:pPr>
      <w:r>
        <w:rPr>
          <w:rFonts w:hint="eastAsia"/>
        </w:rPr>
        <w:t>GB/T 35649 突发事件应急标绘符号规范</w:t>
      </w:r>
    </w:p>
    <w:p w14:paraId="40E69B1A">
      <w:pPr>
        <w:pStyle w:val="60"/>
        <w:ind w:firstLine="420"/>
      </w:pPr>
      <w:r>
        <w:rPr>
          <w:rFonts w:hint="eastAsia"/>
        </w:rPr>
        <w:t>GB/T 24354 公共安全 应急管理 地理信息规范</w:t>
      </w:r>
    </w:p>
    <w:p w14:paraId="69D8FDDF">
      <w:pPr>
        <w:pStyle w:val="60"/>
        <w:ind w:firstLine="420"/>
      </w:pPr>
      <w:r>
        <w:rPr>
          <w:rFonts w:hint="eastAsia"/>
        </w:rPr>
        <w:t>LY/T 1662.10 数字林业标准与规范 第10部分：森林防火信息代码</w:t>
      </w:r>
    </w:p>
    <w:p w14:paraId="44905484">
      <w:pPr>
        <w:pStyle w:val="60"/>
        <w:ind w:firstLine="420"/>
      </w:pPr>
      <w:r>
        <w:t xml:space="preserve">LY/T 1679 </w:t>
      </w:r>
      <w:r>
        <w:rPr>
          <w:rFonts w:hint="eastAsia"/>
        </w:rPr>
        <w:t>森林草原火灾扑救技术规程</w:t>
      </w:r>
    </w:p>
    <w:p w14:paraId="70071322">
      <w:pPr>
        <w:pStyle w:val="60"/>
        <w:ind w:firstLine="420"/>
      </w:pPr>
      <w:r>
        <w:rPr>
          <w:rFonts w:hint="eastAsia"/>
        </w:rPr>
        <w:t>LY/T 2664 森林防火数字超短波通信系统技术规范</w:t>
      </w:r>
    </w:p>
    <w:p w14:paraId="5A75EE9E">
      <w:pPr>
        <w:pStyle w:val="60"/>
        <w:ind w:firstLine="420"/>
      </w:pPr>
      <w:r>
        <w:rPr>
          <w:rFonts w:hint="eastAsia"/>
        </w:rPr>
        <w:t>YJ/T 38 应急管理 应急通信超短波通信网技术规范</w:t>
      </w:r>
    </w:p>
    <w:p w14:paraId="7950198F">
      <w:pPr>
        <w:pStyle w:val="60"/>
        <w:ind w:firstLine="420"/>
      </w:pPr>
      <w:r>
        <w:rPr>
          <w:rFonts w:hint="eastAsia"/>
        </w:rPr>
        <w:t>YJ/T 35 地方森林草原消防队伍火灾扑救安全指南</w:t>
      </w:r>
    </w:p>
    <w:p w14:paraId="10F16DF3">
      <w:pPr>
        <w:pStyle w:val="60"/>
        <w:ind w:firstLine="420"/>
      </w:pPr>
      <w:r>
        <w:rPr>
          <w:rFonts w:hint="eastAsia"/>
        </w:rPr>
        <w:t>XF/T 3013 国家综合性消防救援队伍常用标号</w:t>
      </w:r>
    </w:p>
    <w:p w14:paraId="1913C571">
      <w:pPr>
        <w:pStyle w:val="60"/>
        <w:ind w:firstLine="420"/>
      </w:pPr>
      <w:r>
        <w:t xml:space="preserve">MH/T 1033 </w:t>
      </w:r>
      <w:r>
        <w:rPr>
          <w:rFonts w:hint="eastAsia"/>
        </w:rPr>
        <w:t>森林航空消防技术规范</w:t>
      </w:r>
    </w:p>
    <w:p w14:paraId="268A4270">
      <w:pPr>
        <w:pStyle w:val="60"/>
        <w:ind w:firstLine="420"/>
      </w:pPr>
      <w:r>
        <w:t xml:space="preserve">DB37/T 4562 </w:t>
      </w:r>
      <w:r>
        <w:rPr>
          <w:rFonts w:hint="eastAsia"/>
        </w:rPr>
        <w:t>森林航空消防直升机吊桶灭火操作规程</w:t>
      </w:r>
    </w:p>
    <w:p w14:paraId="212399FB">
      <w:pPr>
        <w:pStyle w:val="108"/>
        <w:spacing w:before="240" w:after="240"/>
      </w:pPr>
      <w:bookmarkStart w:id="72" w:name="_Toc2463"/>
      <w:bookmarkStart w:id="73" w:name="_Toc8182"/>
      <w:r>
        <w:rPr>
          <w:rFonts w:hint="eastAsia"/>
        </w:rPr>
        <w:t>术语和定义</w:t>
      </w:r>
      <w:bookmarkEnd w:id="65"/>
      <w:bookmarkEnd w:id="66"/>
      <w:bookmarkEnd w:id="67"/>
      <w:bookmarkEnd w:id="68"/>
      <w:bookmarkEnd w:id="69"/>
      <w:bookmarkEnd w:id="70"/>
      <w:bookmarkEnd w:id="71"/>
      <w:bookmarkEnd w:id="72"/>
      <w:bookmarkEnd w:id="73"/>
    </w:p>
    <w:sdt>
      <w:sdtPr>
        <w:id w:val="-1909835108"/>
        <w:placeholder>
          <w:docPart w:val="0D0C11D59D46497894743BEB381B5FD4"/>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14:paraId="6DD6FD1C">
          <w:pPr>
            <w:pStyle w:val="60"/>
            <w:ind w:firstLine="420"/>
          </w:pPr>
          <w:bookmarkStart w:id="74" w:name="_Toc26986532"/>
          <w:bookmarkEnd w:id="74"/>
          <w:r>
            <w:t>下列术语和定义适用于本文件。</w:t>
          </w:r>
        </w:p>
      </w:sdtContent>
    </w:sdt>
    <w:p w14:paraId="6BB90D96">
      <w:pPr>
        <w:pStyle w:val="227"/>
        <w:ind w:left="420" w:hanging="420" w:hangingChars="200"/>
        <w:rPr>
          <w:rFonts w:hint="eastAsia" w:ascii="黑体" w:hAnsi="黑体" w:eastAsia="黑体"/>
        </w:rPr>
      </w:pPr>
      <w:bookmarkStart w:id="75" w:name="_Toc97903620"/>
      <w:bookmarkStart w:id="76" w:name="_Toc97888192"/>
      <w:r>
        <w:rPr>
          <w:rFonts w:hint="eastAsia" w:hAnsi="宋体"/>
        </w:rPr>
        <w:br w:type="textWrapping"/>
      </w:r>
      <w:bookmarkStart w:id="77" w:name="_Toc210118540"/>
      <w:r>
        <w:rPr>
          <w:rFonts w:hint="eastAsia" w:ascii="黑体" w:hAnsi="黑体" w:eastAsia="黑体"/>
        </w:rPr>
        <w:t>森林草原火灾</w:t>
      </w:r>
      <w:bookmarkEnd w:id="77"/>
      <w:r>
        <w:rPr>
          <w:rFonts w:hint="eastAsia" w:ascii="黑体" w:hAnsi="黑体" w:eastAsia="黑体"/>
        </w:rPr>
        <w:t xml:space="preserve"> forest and  grassland fire</w:t>
      </w:r>
    </w:p>
    <w:p w14:paraId="354B1B6B">
      <w:pPr>
        <w:pStyle w:val="237"/>
        <w:rPr>
          <w:rFonts w:hint="eastAsia" w:hAnsi="宋体"/>
        </w:rPr>
      </w:pPr>
      <w:r>
        <w:rPr>
          <w:rFonts w:hint="eastAsia"/>
        </w:rPr>
        <w:t>失去人为控制，在森林内或草原上自由蔓延扩展，对森林（草原）、生态系统及人类造成一定危害和损失的植被燃烧现象。</w:t>
      </w:r>
    </w:p>
    <w:p w14:paraId="1D67AF51">
      <w:pPr>
        <w:pStyle w:val="227"/>
        <w:ind w:left="420" w:hanging="420" w:hangingChars="200"/>
        <w:rPr>
          <w:rFonts w:hint="eastAsia" w:ascii="黑体" w:hAnsi="黑体" w:eastAsia="黑体"/>
        </w:rPr>
      </w:pPr>
      <w:bookmarkStart w:id="78" w:name="_Toc210118542"/>
      <w:r>
        <w:rPr>
          <w:rFonts w:ascii="黑体" w:hAnsi="黑体" w:eastAsia="黑体"/>
        </w:rPr>
        <w:br w:type="textWrapping"/>
      </w:r>
      <w:r>
        <w:rPr>
          <w:rFonts w:hint="eastAsia" w:ascii="黑体" w:hAnsi="黑体" w:eastAsia="黑体"/>
        </w:rPr>
        <w:t>数据协同</w:t>
      </w:r>
      <w:bookmarkEnd w:id="78"/>
      <w:r>
        <w:rPr>
          <w:rFonts w:hint="eastAsia" w:ascii="黑体" w:hAnsi="黑体" w:eastAsia="黑体"/>
        </w:rPr>
        <w:t xml:space="preserve"> data collaboration</w:t>
      </w:r>
    </w:p>
    <w:p w14:paraId="2DBD68EE">
      <w:pPr>
        <w:pStyle w:val="60"/>
        <w:ind w:firstLine="420"/>
        <w:rPr>
          <w:rFonts w:hint="eastAsia" w:ascii="黑体" w:hAnsi="黑体" w:eastAsia="黑体"/>
        </w:rPr>
      </w:pPr>
      <w:r>
        <w:rPr>
          <w:rFonts w:hint="eastAsia"/>
        </w:rPr>
        <w:t>在森林草原火灾扑救过程中，</w:t>
      </w:r>
      <w:r>
        <w:rPr>
          <w:rFonts w:ascii="sans-serif" w:hAnsi="sans-serif" w:eastAsia="sans-serif" w:cs="sans-serif"/>
          <w:color w:val="2E2B29"/>
          <w:szCs w:val="21"/>
          <w:shd w:val="clear" w:color="auto" w:fill="FCFAF8"/>
        </w:rPr>
        <w:t>相关参与方之间通过统一标准和规范，对火场数据进行采集、传输、共享和应用的协作机制。</w:t>
      </w:r>
    </w:p>
    <w:p w14:paraId="566F3645">
      <w:pPr>
        <w:pStyle w:val="227"/>
        <w:ind w:left="420" w:hanging="420" w:hangingChars="200"/>
        <w:rPr>
          <w:rFonts w:hint="eastAsia" w:ascii="黑体" w:hAnsi="黑体" w:eastAsia="黑体"/>
        </w:rPr>
      </w:pPr>
      <w:bookmarkStart w:id="79" w:name="_Toc210118546"/>
      <w:r>
        <w:rPr>
          <w:rFonts w:ascii="黑体" w:hAnsi="黑体" w:eastAsia="黑体"/>
        </w:rPr>
        <w:br w:type="textWrapping"/>
      </w:r>
      <w:r>
        <w:rPr>
          <w:rFonts w:hint="eastAsia" w:ascii="黑体" w:hAnsi="黑体" w:eastAsia="黑体"/>
        </w:rPr>
        <w:t>航空消防</w:t>
      </w:r>
      <w:bookmarkEnd w:id="79"/>
      <w:r>
        <w:rPr>
          <w:rFonts w:hint="eastAsia" w:ascii="黑体" w:hAnsi="黑体" w:eastAsia="黑体"/>
        </w:rPr>
        <w:t xml:space="preserve"> aerial firefighting</w:t>
      </w:r>
    </w:p>
    <w:p w14:paraId="0381DDAC">
      <w:pPr>
        <w:pStyle w:val="60"/>
        <w:ind w:firstLine="420"/>
      </w:pPr>
      <w:r>
        <w:rPr>
          <w:rFonts w:hint="eastAsia"/>
        </w:rPr>
        <w:t>利用固定翼飞机、直升机、无人机等航空器，执行火场侦察、力量投送、洒液灭火、通信中继等扑救任务的活动。</w:t>
      </w:r>
    </w:p>
    <w:p w14:paraId="2821B27A">
      <w:pPr>
        <w:pStyle w:val="227"/>
        <w:ind w:left="420" w:hanging="420" w:hangingChars="200"/>
        <w:rPr>
          <w:rFonts w:hint="eastAsia" w:ascii="黑体" w:hAnsi="黑体" w:eastAsia="黑体"/>
        </w:rPr>
      </w:pPr>
      <w:bookmarkStart w:id="80" w:name="_Toc210118550"/>
      <w:r>
        <w:rPr>
          <w:rFonts w:hint="eastAsia" w:ascii="黑体" w:hAnsi="黑体" w:eastAsia="黑体"/>
        </w:rPr>
        <w:br w:type="textWrapping"/>
      </w:r>
      <w:r>
        <w:rPr>
          <w:rFonts w:hint="eastAsia" w:ascii="黑体" w:hAnsi="黑体" w:eastAsia="黑体"/>
        </w:rPr>
        <w:t>地空协同</w:t>
      </w:r>
      <w:bookmarkEnd w:id="80"/>
      <w:r>
        <w:rPr>
          <w:rFonts w:hint="eastAsia" w:ascii="黑体" w:hAnsi="黑体" w:eastAsia="黑体"/>
        </w:rPr>
        <w:t xml:space="preserve"> air-ground coordination</w:t>
      </w:r>
    </w:p>
    <w:p w14:paraId="2FC8C57E">
      <w:pPr>
        <w:pStyle w:val="60"/>
        <w:ind w:firstLine="420"/>
      </w:pPr>
      <w:r>
        <w:rPr>
          <w:rFonts w:hint="eastAsia"/>
        </w:rPr>
        <w:t>地面扑火队伍和航空消防力量在统一指挥下，通过信息共享、任务分工、行动配合，共同实施灭火作业的行动方式。</w:t>
      </w:r>
    </w:p>
    <w:p w14:paraId="444D3E14">
      <w:pPr>
        <w:pStyle w:val="227"/>
        <w:ind w:left="420" w:hanging="420" w:hangingChars="200"/>
        <w:rPr>
          <w:rFonts w:hint="eastAsia" w:ascii="黑体" w:hAnsi="黑体" w:eastAsia="黑体"/>
        </w:rPr>
      </w:pPr>
      <w:bookmarkStart w:id="81" w:name="_Toc210118554"/>
      <w:r>
        <w:rPr>
          <w:rFonts w:ascii="黑体" w:hAnsi="黑体" w:eastAsia="黑体"/>
        </w:rPr>
        <w:br w:type="textWrapping"/>
      </w:r>
      <w:r>
        <w:rPr>
          <w:rFonts w:hint="eastAsia" w:ascii="黑体" w:hAnsi="黑体" w:eastAsia="黑体"/>
        </w:rPr>
        <w:t>火场态势图</w:t>
      </w:r>
      <w:bookmarkEnd w:id="81"/>
      <w:r>
        <w:rPr>
          <w:rFonts w:hint="eastAsia" w:ascii="黑体" w:hAnsi="黑体" w:eastAsia="黑体"/>
        </w:rPr>
        <w:t xml:space="preserve"> fire situation map</w:t>
      </w:r>
    </w:p>
    <w:p w14:paraId="62534DCB">
      <w:pPr>
        <w:pStyle w:val="60"/>
        <w:ind w:firstLine="420"/>
      </w:pPr>
      <w:r>
        <w:rPr>
          <w:rFonts w:hint="eastAsia"/>
        </w:rPr>
        <w:t>以地图为载体，采用标注、注记、颜色等图形化要素，综合表达火场边界、火头位置、烟点、已灭火线、蔓延方向及重点保护目标等火场现状与发展态势信息的专题地图。</w:t>
      </w:r>
    </w:p>
    <w:bookmarkEnd w:id="75"/>
    <w:bookmarkEnd w:id="76"/>
    <w:p w14:paraId="30DC5E5B">
      <w:pPr>
        <w:pStyle w:val="108"/>
        <w:spacing w:before="240" w:after="240"/>
      </w:pPr>
      <w:bookmarkStart w:id="82" w:name="_Toc150951489"/>
      <w:bookmarkEnd w:id="82"/>
      <w:bookmarkStart w:id="83" w:name="_Toc5191"/>
      <w:bookmarkStart w:id="84" w:name="_Toc6327"/>
      <w:bookmarkStart w:id="85" w:name="_Toc30040"/>
      <w:bookmarkStart w:id="86" w:name="_Toc23186"/>
      <w:bookmarkStart w:id="87" w:name="_Toc24716"/>
      <w:bookmarkStart w:id="88" w:name="_Toc17320"/>
      <w:r>
        <w:rPr>
          <w:rFonts w:hint="eastAsia"/>
        </w:rPr>
        <w:t>基本要求</w:t>
      </w:r>
      <w:bookmarkEnd w:id="83"/>
      <w:bookmarkEnd w:id="84"/>
      <w:bookmarkEnd w:id="85"/>
      <w:bookmarkEnd w:id="86"/>
      <w:bookmarkEnd w:id="87"/>
      <w:bookmarkEnd w:id="88"/>
    </w:p>
    <w:p w14:paraId="111C9B55">
      <w:pPr>
        <w:pStyle w:val="109"/>
        <w:spacing w:before="120" w:after="120"/>
      </w:pPr>
      <w:bookmarkStart w:id="89" w:name="_Toc22265"/>
      <w:bookmarkStart w:id="90" w:name="_Toc13670"/>
      <w:bookmarkStart w:id="91" w:name="_Toc16714"/>
      <w:bookmarkStart w:id="92" w:name="_Toc31401"/>
      <w:bookmarkStart w:id="93" w:name="_Toc11513"/>
      <w:bookmarkStart w:id="94" w:name="_Toc4098"/>
      <w:r>
        <w:rPr>
          <w:rFonts w:hint="eastAsia"/>
        </w:rPr>
        <w:t>总体框架</w:t>
      </w:r>
      <w:bookmarkEnd w:id="89"/>
      <w:bookmarkEnd w:id="90"/>
    </w:p>
    <w:p w14:paraId="117FD04B">
      <w:pPr>
        <w:pStyle w:val="60"/>
        <w:ind w:firstLine="0" w:firstLineChars="0"/>
        <w:jc w:val="center"/>
      </w:pPr>
      <w:r>
        <w:drawing>
          <wp:inline distT="0" distB="0" distL="114300" distR="114300">
            <wp:extent cx="3036570" cy="3103880"/>
            <wp:effectExtent l="0" t="0" r="11430" b="1270"/>
            <wp:docPr id="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
                    <pic:cNvPicPr>
                      <a:picLocks noChangeAspect="1"/>
                    </pic:cNvPicPr>
                  </pic:nvPicPr>
                  <pic:blipFill>
                    <a:blip r:embed="rId18"/>
                    <a:stretch>
                      <a:fillRect/>
                    </a:stretch>
                  </pic:blipFill>
                  <pic:spPr>
                    <a:xfrm>
                      <a:off x="0" y="0"/>
                      <a:ext cx="3036570" cy="3103880"/>
                    </a:xfrm>
                    <a:prstGeom prst="rect">
                      <a:avLst/>
                    </a:prstGeom>
                    <a:noFill/>
                    <a:ln>
                      <a:noFill/>
                    </a:ln>
                  </pic:spPr>
                </pic:pic>
              </a:graphicData>
            </a:graphic>
          </wp:inline>
        </w:drawing>
      </w:r>
    </w:p>
    <w:p w14:paraId="6F667A80">
      <w:pPr>
        <w:pStyle w:val="60"/>
        <w:ind w:firstLine="0" w:firstLineChars="0"/>
        <w:jc w:val="center"/>
      </w:pPr>
      <w:r>
        <w:rPr>
          <w:rFonts w:hint="eastAsia"/>
        </w:rPr>
        <w:t>图1 森林草原火灾扑救地空协同总体框架</w:t>
      </w:r>
    </w:p>
    <w:p w14:paraId="4976759D">
      <w:pPr>
        <w:pStyle w:val="109"/>
        <w:spacing w:before="120" w:after="120"/>
      </w:pPr>
      <w:bookmarkStart w:id="95" w:name="_Toc26274"/>
      <w:bookmarkStart w:id="96" w:name="_Toc21788"/>
      <w:r>
        <w:rPr>
          <w:rFonts w:hint="eastAsia"/>
        </w:rPr>
        <w:t>地空协同基本要求</w:t>
      </w:r>
      <w:bookmarkEnd w:id="91"/>
      <w:bookmarkEnd w:id="92"/>
      <w:bookmarkEnd w:id="93"/>
      <w:bookmarkEnd w:id="94"/>
      <w:bookmarkEnd w:id="95"/>
      <w:bookmarkEnd w:id="96"/>
    </w:p>
    <w:p w14:paraId="608ADE47">
      <w:pPr>
        <w:pStyle w:val="69"/>
        <w:spacing w:before="120" w:after="120"/>
      </w:pPr>
      <w:r>
        <w:rPr>
          <w:rFonts w:hint="eastAsia"/>
        </w:rPr>
        <w:t>协同指挥要求</w:t>
      </w:r>
    </w:p>
    <w:p w14:paraId="4A7E2641">
      <w:pPr>
        <w:pStyle w:val="60"/>
        <w:ind w:firstLine="420"/>
        <w:rPr>
          <w:highlight w:val="yellow"/>
        </w:rPr>
      </w:pPr>
      <w:r>
        <w:rPr>
          <w:rFonts w:hint="eastAsia"/>
        </w:rPr>
        <w:t>森林草原防灭火指挥机构应按照《国家森林草原火灾应急预案》、《扑救森林草原火灾现场指挥机制》及地方应急预案等文件要求，在火灾现场建立火场前线指挥部。地空协同扑救应实行分级分类管理，并结合不同区域地理环境和火灾特征组织实施。</w:t>
      </w:r>
    </w:p>
    <w:p w14:paraId="648E6AFF">
      <w:pPr>
        <w:pStyle w:val="69"/>
        <w:spacing w:before="120" w:after="120"/>
      </w:pPr>
      <w:r>
        <w:rPr>
          <w:rFonts w:hint="eastAsia"/>
        </w:rPr>
        <w:t>协同指挥人员能力要求</w:t>
      </w:r>
    </w:p>
    <w:p w14:paraId="46AB9B3E">
      <w:pPr>
        <w:pStyle w:val="60"/>
        <w:ind w:firstLine="420"/>
      </w:pPr>
      <w:r>
        <w:rPr>
          <w:rFonts w:hint="eastAsia"/>
        </w:rPr>
        <w:t>火场前线指挥部应配备熟悉地空协同业务的专业人员。参与地空协同指挥的关键岗位人员应具备以下专业技术能力：</w:t>
      </w:r>
    </w:p>
    <w:p w14:paraId="406F74DC">
      <w:pPr>
        <w:pStyle w:val="60"/>
        <w:ind w:firstLine="420"/>
      </w:pPr>
      <w:r>
        <w:rPr>
          <w:rFonts w:hint="eastAsia"/>
        </w:rPr>
        <w:t>1）指挥员</w:t>
      </w:r>
    </w:p>
    <w:p w14:paraId="0EE305E0">
      <w:pPr>
        <w:pStyle w:val="60"/>
        <w:ind w:firstLine="420"/>
      </w:pPr>
      <w:r>
        <w:rPr>
          <w:rFonts w:hint="eastAsia"/>
        </w:rPr>
        <w:t>a）应具备航空灭火基础理论，熟悉作业航空器的性能参数、作业限制条件及作业方式，并掌握航空消防安全操作规程；</w:t>
      </w:r>
    </w:p>
    <w:p w14:paraId="36650FB5">
      <w:pPr>
        <w:pStyle w:val="60"/>
        <w:ind w:firstLine="420"/>
      </w:pPr>
      <w:r>
        <w:rPr>
          <w:rFonts w:hint="eastAsia"/>
        </w:rPr>
        <w:t>b）应掌握地空协同基本战术原则，具备根据火场态势制定协同作战方案的能力，并能对协同效果进行评估；</w:t>
      </w:r>
    </w:p>
    <w:p w14:paraId="5E186878">
      <w:pPr>
        <w:pStyle w:val="60"/>
        <w:ind w:firstLine="420"/>
      </w:pPr>
      <w:r>
        <w:rPr>
          <w:rFonts w:hint="eastAsia"/>
        </w:rPr>
        <w:t>c）应熟悉空域管理有关规定，具备依据火场范围划设临时飞行空域、办理空域申请报备及协助实施现场飞行管制的协调能力。</w:t>
      </w:r>
    </w:p>
    <w:p w14:paraId="696CBC00">
      <w:pPr>
        <w:pStyle w:val="60"/>
        <w:ind w:firstLine="420"/>
      </w:pPr>
      <w:r>
        <w:rPr>
          <w:rFonts w:hint="eastAsia"/>
        </w:rPr>
        <w:t>2）飞行观察员、地面联络员</w:t>
      </w:r>
    </w:p>
    <w:p w14:paraId="0B75483C">
      <w:pPr>
        <w:pStyle w:val="60"/>
        <w:ind w:firstLine="420"/>
      </w:pPr>
      <w:r>
        <w:rPr>
          <w:rFonts w:hint="eastAsia"/>
        </w:rPr>
        <w:t>a）宜具备航空灭火基础知识，了解航空器作业方式及安全要求；</w:t>
      </w:r>
    </w:p>
    <w:p w14:paraId="2D60DF6B">
      <w:pPr>
        <w:pStyle w:val="60"/>
        <w:ind w:firstLine="420"/>
      </w:pPr>
      <w:r>
        <w:rPr>
          <w:rFonts w:hint="eastAsia"/>
        </w:rPr>
        <w:t>b）应掌握地空通信规程，能够准确传递火场态势信息；</w:t>
      </w:r>
    </w:p>
    <w:p w14:paraId="7867D97E">
      <w:pPr>
        <w:pStyle w:val="60"/>
        <w:ind w:firstLine="420"/>
      </w:pPr>
      <w:r>
        <w:rPr>
          <w:rFonts w:hint="eastAsia"/>
        </w:rPr>
        <w:t>c）应熟悉紧急避险程序，具备应急情况下的快速响应能力。</w:t>
      </w:r>
    </w:p>
    <w:p w14:paraId="430FBDDF">
      <w:pPr>
        <w:pStyle w:val="69"/>
        <w:spacing w:before="120" w:after="120"/>
      </w:pPr>
      <w:r>
        <w:rPr>
          <w:rFonts w:hint="eastAsia"/>
        </w:rPr>
        <w:t>协同灭火要求</w:t>
      </w:r>
    </w:p>
    <w:p w14:paraId="4DF3DAAB">
      <w:pPr>
        <w:pStyle w:val="60"/>
        <w:ind w:firstLine="420"/>
      </w:pPr>
      <w:r>
        <w:rPr>
          <w:rFonts w:hint="eastAsia"/>
        </w:rPr>
        <w:t>1）地空协同灭火作业应在火场前线指挥部的统一指挥下实施。</w:t>
      </w:r>
    </w:p>
    <w:p w14:paraId="1F18B6FA">
      <w:pPr>
        <w:pStyle w:val="60"/>
        <w:ind w:firstLine="420"/>
      </w:pPr>
      <w:r>
        <w:rPr>
          <w:rFonts w:hint="eastAsia"/>
        </w:rPr>
        <w:t>2）火场前线指挥部、航空消防力量与地面扑火队伍之间应建立可靠的通信联络，保持通信畅通，及时共享火场态势、作业动态及安全信息。</w:t>
      </w:r>
    </w:p>
    <w:p w14:paraId="12305B08">
      <w:pPr>
        <w:pStyle w:val="60"/>
        <w:ind w:firstLine="420"/>
      </w:pPr>
      <w:r>
        <w:rPr>
          <w:rFonts w:hint="eastAsia"/>
        </w:rPr>
        <w:t>3）多机同场灭火作业时，应依据机型性能和作业任务为各航空器划定高度层和作业区域，保持安全间隔；无人驾驶航空器与有人驾驶航空器不得在同一高度层同时作业，并遵循无人驾驶航空器避让有人驾驶航空器的原则。</w:t>
      </w:r>
    </w:p>
    <w:p w14:paraId="6420FCF3">
      <w:pPr>
        <w:pStyle w:val="60"/>
        <w:ind w:firstLine="420"/>
      </w:pPr>
      <w:r>
        <w:rPr>
          <w:rFonts w:hint="eastAsia"/>
        </w:rPr>
        <w:t>4）航空消防力量开展灭火作业或起降时，应提前向地面扑火队伍通报作业区域、进入方向和预计时间；地面扑火队伍应撤离至航空器作业范围以外的安全区域，并在航空器机组或地面联络员确认安全后方可返回作业。</w:t>
      </w:r>
    </w:p>
    <w:p w14:paraId="6094D536">
      <w:pPr>
        <w:pStyle w:val="60"/>
        <w:ind w:firstLine="420"/>
      </w:pPr>
      <w:r>
        <w:rPr>
          <w:rFonts w:hint="eastAsia"/>
        </w:rPr>
        <w:t>5）火场前线指挥部应组织建立统一的数据协同机制，明确数据共享、使用与管理要求。参与地空协同的各类主体应按照统一要求开展数据采集与共享，保障火场态势信息的一致性。</w:t>
      </w:r>
    </w:p>
    <w:p w14:paraId="48C457C7">
      <w:pPr>
        <w:pStyle w:val="69"/>
        <w:spacing w:before="120" w:after="120"/>
      </w:pPr>
      <w:r>
        <w:rPr>
          <w:rFonts w:hint="eastAsia"/>
        </w:rPr>
        <w:t>信息化支撑</w:t>
      </w:r>
    </w:p>
    <w:p w14:paraId="2F683AFF">
      <w:pPr>
        <w:pStyle w:val="60"/>
        <w:numPr>
          <w:ilvl w:val="255"/>
          <w:numId w:val="0"/>
        </w:numPr>
        <w:ind w:firstLine="420" w:firstLineChars="200"/>
      </w:pPr>
      <w:r>
        <w:rPr>
          <w:rFonts w:hint="eastAsia"/>
        </w:rPr>
        <w:t>地空消防力量应依托信息化开展协同，实现地空数据的实时采集、处理、融合与共享。</w:t>
      </w:r>
    </w:p>
    <w:p w14:paraId="4CAC09F9">
      <w:pPr>
        <w:pStyle w:val="69"/>
        <w:spacing w:before="120" w:after="120"/>
      </w:pPr>
      <w:bookmarkStart w:id="97" w:name="_Toc25310"/>
      <w:bookmarkStart w:id="98" w:name="_Toc1455"/>
      <w:bookmarkStart w:id="99" w:name="_Toc25926"/>
      <w:bookmarkStart w:id="100" w:name="_Toc7966"/>
      <w:bookmarkStart w:id="101" w:name="_Toc213945299"/>
      <w:r>
        <w:rPr>
          <w:rFonts w:hint="eastAsia"/>
        </w:rPr>
        <w:t>协同培训与演练</w:t>
      </w:r>
    </w:p>
    <w:p w14:paraId="7F077E47">
      <w:pPr>
        <w:pStyle w:val="60"/>
        <w:ind w:firstLine="420"/>
      </w:pPr>
      <w:r>
        <w:rPr>
          <w:rFonts w:hint="eastAsia"/>
        </w:rPr>
        <w:t>1）培训要求</w:t>
      </w:r>
    </w:p>
    <w:p w14:paraId="5D846E6A">
      <w:pPr>
        <w:pStyle w:val="60"/>
        <w:ind w:firstLine="420"/>
      </w:pPr>
      <w:r>
        <w:rPr>
          <w:rFonts w:hint="eastAsia"/>
        </w:rPr>
        <w:t>a）基础培训</w:t>
      </w:r>
    </w:p>
    <w:p w14:paraId="3C8CC5D4">
      <w:pPr>
        <w:pStyle w:val="60"/>
        <w:ind w:firstLine="420"/>
      </w:pPr>
      <w:r>
        <w:rPr>
          <w:rFonts w:hint="eastAsia"/>
        </w:rPr>
        <w:t>地空协同灭火基础知识应纳入航空消防力量及地面扑火队伍的日常培训科目。</w:t>
      </w:r>
    </w:p>
    <w:p w14:paraId="7F8E3060">
      <w:pPr>
        <w:pStyle w:val="60"/>
        <w:ind w:firstLine="420"/>
      </w:pPr>
      <w:r>
        <w:rPr>
          <w:rFonts w:hint="eastAsia"/>
        </w:rPr>
        <w:t>b）专项培训</w:t>
      </w:r>
    </w:p>
    <w:p w14:paraId="0CE2D554">
      <w:pPr>
        <w:pStyle w:val="60"/>
        <w:ind w:firstLine="420"/>
      </w:pPr>
      <w:r>
        <w:rPr>
          <w:rFonts w:hint="eastAsia"/>
        </w:rPr>
        <w:t>地空消防力量管理单位应定期组织指挥员、飞行观察员、联络员等关键岗位人员的地空协同专项技能培训。</w:t>
      </w:r>
    </w:p>
    <w:p w14:paraId="751EB421">
      <w:pPr>
        <w:pStyle w:val="60"/>
        <w:ind w:firstLine="420"/>
      </w:pPr>
      <w:r>
        <w:rPr>
          <w:rFonts w:hint="eastAsia"/>
        </w:rPr>
        <w:t>c）培训内容</w:t>
      </w:r>
    </w:p>
    <w:p w14:paraId="35F1542B">
      <w:pPr>
        <w:pStyle w:val="60"/>
        <w:ind w:firstLine="420"/>
      </w:pPr>
      <w:r>
        <w:rPr>
          <w:rFonts w:hint="eastAsia"/>
        </w:rPr>
        <w:t>培训内容应包括地空协同原则、指挥流程、通信规程、安全规定、应急处置、新技术应用、实战案例分析等。</w:t>
      </w:r>
    </w:p>
    <w:p w14:paraId="0636CAF8">
      <w:pPr>
        <w:pStyle w:val="60"/>
        <w:ind w:firstLine="420"/>
      </w:pPr>
      <w:r>
        <w:rPr>
          <w:rFonts w:hint="eastAsia"/>
        </w:rPr>
        <w:t>2）资质管理</w:t>
      </w:r>
    </w:p>
    <w:p w14:paraId="7F153B4C">
      <w:pPr>
        <w:pStyle w:val="60"/>
        <w:ind w:firstLine="420"/>
      </w:pPr>
      <w:r>
        <w:rPr>
          <w:rFonts w:hint="eastAsia"/>
        </w:rPr>
        <w:t>相关单位应建立地空协同关键岗位的资质管理或考核制度，明确位能力要求和考核标准。</w:t>
      </w:r>
    </w:p>
    <w:p w14:paraId="6C90BD15">
      <w:pPr>
        <w:pStyle w:val="60"/>
        <w:ind w:firstLine="420"/>
      </w:pPr>
      <w:r>
        <w:rPr>
          <w:rFonts w:hint="eastAsia"/>
        </w:rPr>
        <w:t>3）联合演练</w:t>
      </w:r>
    </w:p>
    <w:p w14:paraId="07B2ACD1">
      <w:pPr>
        <w:pStyle w:val="60"/>
        <w:ind w:firstLine="420"/>
      </w:pPr>
      <w:r>
        <w:rPr>
          <w:rFonts w:hint="eastAsia"/>
        </w:rPr>
        <w:t>地空消防力量应定期联合开展地空协同灭火演练，联合演练内容宜包括火场信息共享、指挥调度与协调配合、通信保障与应急通信恢复等关键技术环节。</w:t>
      </w:r>
      <w:r>
        <w:rPr>
          <w:rFonts w:ascii="sans-serif" w:hAnsi="sans-serif" w:eastAsia="sans-serif" w:cs="sans-serif"/>
          <w:color w:val="2E2B29"/>
          <w:szCs w:val="21"/>
          <w:shd w:val="clear" w:color="auto" w:fill="FCFAF8"/>
        </w:rPr>
        <w:t>演练方案宜结合林区特点制定</w:t>
      </w:r>
      <w:r>
        <w:rPr>
          <w:rFonts w:hint="eastAsia" w:ascii="sans-serif" w:hAnsi="sans-serif" w:cs="sans-serif"/>
          <w:color w:val="2E2B29"/>
          <w:szCs w:val="21"/>
          <w:shd w:val="clear" w:color="auto" w:fill="FCFAF8"/>
        </w:rPr>
        <w:t>，</w:t>
      </w:r>
      <w:r>
        <w:rPr>
          <w:rFonts w:ascii="sans-serif" w:hAnsi="sans-serif" w:eastAsia="sans-serif" w:cs="sans-serif"/>
          <w:color w:val="2E2B29"/>
          <w:szCs w:val="21"/>
          <w:shd w:val="clear" w:color="auto" w:fill="FCFAF8"/>
        </w:rPr>
        <w:t>西南高山林区演练宜侧重复杂地形机降场地选择、索（滑）降投送及强对流条件下的紧急避险；北方平原林区演练宜侧重大面积火场多机协同管理、远距离通信保障及兵力快速机降投送。</w:t>
      </w:r>
    </w:p>
    <w:p w14:paraId="6C9C8DD6">
      <w:pPr>
        <w:pStyle w:val="108"/>
        <w:spacing w:before="240" w:after="240"/>
      </w:pPr>
      <w:bookmarkStart w:id="102" w:name="_Toc22648"/>
      <w:bookmarkStart w:id="103" w:name="_Toc19842"/>
      <w:r>
        <w:rPr>
          <w:rFonts w:hint="eastAsia"/>
        </w:rPr>
        <w:t>森林草原火灾扑救航空消防业务协同</w:t>
      </w:r>
      <w:bookmarkEnd w:id="97"/>
      <w:bookmarkEnd w:id="98"/>
      <w:bookmarkEnd w:id="99"/>
      <w:bookmarkEnd w:id="100"/>
      <w:bookmarkEnd w:id="102"/>
      <w:bookmarkEnd w:id="103"/>
    </w:p>
    <w:p w14:paraId="4CFA489F">
      <w:pPr>
        <w:pStyle w:val="109"/>
        <w:spacing w:before="120" w:after="120"/>
      </w:pPr>
      <w:bookmarkStart w:id="104" w:name="_Toc16450"/>
      <w:bookmarkStart w:id="105" w:name="_Toc10787"/>
      <w:bookmarkStart w:id="106" w:name="_Toc11158"/>
      <w:bookmarkStart w:id="107" w:name="_Toc5735"/>
      <w:bookmarkStart w:id="108" w:name="_Toc9162"/>
      <w:bookmarkStart w:id="109" w:name="_Toc14294"/>
      <w:r>
        <w:rPr>
          <w:rFonts w:hint="eastAsia"/>
        </w:rPr>
        <w:t>响应</w:t>
      </w:r>
      <w:bookmarkEnd w:id="104"/>
      <w:r>
        <w:rPr>
          <w:rFonts w:hint="eastAsia"/>
        </w:rPr>
        <w:t>流程</w:t>
      </w:r>
      <w:bookmarkEnd w:id="105"/>
      <w:bookmarkEnd w:id="106"/>
      <w:bookmarkEnd w:id="107"/>
      <w:r>
        <w:rPr>
          <w:rFonts w:hint="eastAsia"/>
        </w:rPr>
        <w:t>协同</w:t>
      </w:r>
      <w:bookmarkEnd w:id="108"/>
      <w:bookmarkEnd w:id="109"/>
    </w:p>
    <w:p w14:paraId="38C0DB99">
      <w:pPr>
        <w:pStyle w:val="69"/>
        <w:spacing w:before="120" w:after="120"/>
      </w:pPr>
      <w:r>
        <w:rPr>
          <w:rFonts w:hint="eastAsia"/>
        </w:rPr>
        <w:t>火场侦察</w:t>
      </w:r>
    </w:p>
    <w:p w14:paraId="59B53C45">
      <w:pPr>
        <w:pStyle w:val="60"/>
        <w:ind w:firstLine="420"/>
      </w:pPr>
      <w:r>
        <w:rPr>
          <w:rFonts w:hint="eastAsia"/>
        </w:rPr>
        <w:t>实施森林草原火灾扑救前，火场前线指挥部宜优先派遣航空消防力量开展火场侦察，采集火场位置、火势强度、火势蔓延方向、火线、火场面积等信息。</w:t>
      </w:r>
    </w:p>
    <w:p w14:paraId="18D60C0B">
      <w:pPr>
        <w:pStyle w:val="69"/>
        <w:spacing w:before="120" w:after="120"/>
      </w:pPr>
      <w:r>
        <w:rPr>
          <w:rFonts w:hint="eastAsia"/>
        </w:rPr>
        <w:t>地空协同灭火总体方案制定</w:t>
      </w:r>
    </w:p>
    <w:p w14:paraId="6698C7D4">
      <w:pPr>
        <w:pStyle w:val="60"/>
        <w:ind w:firstLine="420"/>
      </w:pPr>
      <w:r>
        <w:rPr>
          <w:rFonts w:hint="eastAsia"/>
        </w:rPr>
        <w:t>火场前线指挥部应根据空中火场侦察信息，结合卫星监测、地面勘察等手段，制定森林草原火灾扑救地空协同灭火总体方案，包含火场基本情况、地空消防力量任务分工、任务时限要求、扑救方式、协同作业要求、指挥关系、安全注意事项等。</w:t>
      </w:r>
    </w:p>
    <w:p w14:paraId="0E36F4F3">
      <w:pPr>
        <w:pStyle w:val="69"/>
        <w:spacing w:before="120" w:after="120"/>
      </w:pPr>
      <w:r>
        <w:rPr>
          <w:rFonts w:hint="eastAsia"/>
        </w:rPr>
        <w:t>任务接收与准备</w:t>
      </w:r>
    </w:p>
    <w:p w14:paraId="6D5FB516">
      <w:pPr>
        <w:pStyle w:val="60"/>
        <w:ind w:firstLine="420"/>
      </w:pPr>
      <w:r>
        <w:rPr>
          <w:rFonts w:hint="eastAsia"/>
        </w:rPr>
        <w:t>地空消防力量接收火场前线指挥部下达的任务指令后，应依据地空协同总体灭火方案，联合制定空地配合灭火方案，包括：</w:t>
      </w:r>
    </w:p>
    <w:p w14:paraId="0BB310A5">
      <w:pPr>
        <w:pStyle w:val="60"/>
        <w:numPr>
          <w:ilvl w:val="255"/>
          <w:numId w:val="0"/>
        </w:numPr>
        <w:autoSpaceDE/>
        <w:autoSpaceDN/>
        <w:ind w:firstLine="420"/>
      </w:pPr>
      <w:r>
        <w:rPr>
          <w:rFonts w:hint="eastAsia"/>
        </w:rPr>
        <w:t>1）绘制火场扑救作战图，标注指挥部位置和联系人电话、火场上扑火力量及布局情况；</w:t>
      </w:r>
    </w:p>
    <w:p w14:paraId="6F9242F6">
      <w:pPr>
        <w:pStyle w:val="60"/>
        <w:numPr>
          <w:ilvl w:val="255"/>
          <w:numId w:val="0"/>
        </w:numPr>
        <w:autoSpaceDE/>
        <w:autoSpaceDN/>
        <w:ind w:firstLine="420"/>
      </w:pPr>
      <w:r>
        <w:rPr>
          <w:rFonts w:hint="eastAsia"/>
        </w:rPr>
        <w:t>2）标注空地配合灭火的重点灭火区、次要灭火区和一般灭火区；</w:t>
      </w:r>
    </w:p>
    <w:p w14:paraId="591FB9F9">
      <w:pPr>
        <w:pStyle w:val="60"/>
        <w:numPr>
          <w:ilvl w:val="255"/>
          <w:numId w:val="0"/>
        </w:numPr>
        <w:autoSpaceDE/>
        <w:autoSpaceDN/>
        <w:ind w:firstLine="420"/>
      </w:pPr>
      <w:r>
        <w:rPr>
          <w:rFonts w:hint="eastAsia"/>
        </w:rPr>
        <w:t>3）与空中配合灭火的地面扑火队及力量部署情况；</w:t>
      </w:r>
    </w:p>
    <w:p w14:paraId="312E60CC">
      <w:pPr>
        <w:pStyle w:val="60"/>
        <w:numPr>
          <w:ilvl w:val="255"/>
          <w:numId w:val="0"/>
        </w:numPr>
        <w:autoSpaceDE/>
        <w:autoSpaceDN/>
        <w:ind w:firstLine="420"/>
      </w:pPr>
      <w:r>
        <w:rPr>
          <w:rFonts w:hint="eastAsia"/>
        </w:rPr>
        <w:t>4）空地配合灭火观察员、地面扑火队负责人姓名、职务和通联方式；</w:t>
      </w:r>
    </w:p>
    <w:p w14:paraId="5B4435B1">
      <w:pPr>
        <w:pStyle w:val="60"/>
        <w:numPr>
          <w:ilvl w:val="255"/>
          <w:numId w:val="0"/>
        </w:numPr>
        <w:autoSpaceDE/>
        <w:autoSpaceDN/>
        <w:ind w:firstLine="420"/>
      </w:pPr>
      <w:r>
        <w:rPr>
          <w:rFonts w:hint="eastAsia"/>
        </w:rPr>
        <w:t>5）航空器取水点位置、距火场距离。</w:t>
      </w:r>
    </w:p>
    <w:p w14:paraId="62CCC15B">
      <w:pPr>
        <w:pStyle w:val="69"/>
        <w:spacing w:before="120" w:after="120"/>
      </w:pPr>
      <w:r>
        <w:rPr>
          <w:rFonts w:hint="eastAsia"/>
        </w:rPr>
        <w:t>进驻与地空对接</w:t>
      </w:r>
    </w:p>
    <w:p w14:paraId="6422BC23">
      <w:pPr>
        <w:pStyle w:val="60"/>
        <w:ind w:firstLine="420"/>
      </w:pPr>
      <w:r>
        <w:rPr>
          <w:rFonts w:hint="eastAsia"/>
        </w:rPr>
        <w:t>进入火场空域前，航空消防力量应与火场前线指挥部、地面扑火队伍建立通信联络，报告位置、执行的任务，获取进入许可和火场态势信息。</w:t>
      </w:r>
    </w:p>
    <w:p w14:paraId="23988320">
      <w:pPr>
        <w:pStyle w:val="69"/>
        <w:spacing w:before="120" w:after="120"/>
      </w:pPr>
      <w:r>
        <w:rPr>
          <w:rFonts w:hint="eastAsia"/>
        </w:rPr>
        <w:t>地空协同灭火</w:t>
      </w:r>
    </w:p>
    <w:p w14:paraId="2CEB387F">
      <w:pPr>
        <w:pStyle w:val="60"/>
        <w:ind w:firstLine="420"/>
      </w:pPr>
      <w:r>
        <w:rPr>
          <w:rFonts w:hint="eastAsia"/>
        </w:rPr>
        <w:t>地空消防力量应依据联合制定的空地配合灭火方案实施灭火作业。火灾扑救过程中，空中观察员与地面联络人员、扑火队负责人应保持通信联络，共享火场态势、航空器洒液作业位置及效果、地面扑火力量推进情况及灭火效果等信息。地空各方应根据共享信息，及时协商调整地空协同灭火作业方式。</w:t>
      </w:r>
    </w:p>
    <w:p w14:paraId="56E319C1">
      <w:pPr>
        <w:pStyle w:val="109"/>
        <w:spacing w:before="120" w:after="120"/>
      </w:pPr>
      <w:bookmarkStart w:id="110" w:name="_Toc11977"/>
      <w:bookmarkStart w:id="111" w:name="_Toc32544"/>
      <w:bookmarkStart w:id="112" w:name="_Toc5526"/>
      <w:bookmarkStart w:id="113" w:name="_Toc13355"/>
      <w:bookmarkStart w:id="114" w:name="_Toc12271"/>
      <w:r>
        <w:rPr>
          <w:rFonts w:hint="eastAsia"/>
        </w:rPr>
        <w:t>火场指挥协同</w:t>
      </w:r>
      <w:bookmarkEnd w:id="110"/>
      <w:bookmarkEnd w:id="111"/>
      <w:bookmarkEnd w:id="112"/>
      <w:bookmarkEnd w:id="113"/>
      <w:bookmarkEnd w:id="114"/>
    </w:p>
    <w:p w14:paraId="615FF51A">
      <w:pPr>
        <w:pStyle w:val="69"/>
        <w:spacing w:before="120" w:after="120"/>
      </w:pPr>
      <w:r>
        <w:rPr>
          <w:rFonts w:hint="eastAsia"/>
        </w:rPr>
        <w:t>作战任务动态调整</w:t>
      </w:r>
    </w:p>
    <w:p w14:paraId="394AC72E">
      <w:pPr>
        <w:pStyle w:val="60"/>
        <w:ind w:firstLine="420"/>
      </w:pPr>
      <w:r>
        <w:rPr>
          <w:rFonts w:hint="eastAsia"/>
        </w:rPr>
        <w:t>火场前线指挥部应根据气象、植被、地形、火势蔓延预测以及重点目标分布等数据，进行综合研判分析，动态调整灭火作战任务优先级。灭火作战任务优先级调整应遵循以下原则：</w:t>
      </w:r>
    </w:p>
    <w:p w14:paraId="04C7F64C">
      <w:pPr>
        <w:pStyle w:val="60"/>
        <w:ind w:firstLine="420"/>
      </w:pPr>
      <w:r>
        <w:rPr>
          <w:rFonts w:hint="eastAsia"/>
        </w:rPr>
        <w:t>1）优先保障人员生命安全；</w:t>
      </w:r>
    </w:p>
    <w:p w14:paraId="06407923">
      <w:pPr>
        <w:pStyle w:val="60"/>
        <w:ind w:firstLine="420"/>
      </w:pPr>
      <w:r>
        <w:rPr>
          <w:rFonts w:hint="eastAsia"/>
        </w:rPr>
        <w:t>2）在确保人员安全的前提下，优先保护重要目标。</w:t>
      </w:r>
    </w:p>
    <w:p w14:paraId="7273D7AD">
      <w:pPr>
        <w:pStyle w:val="69"/>
        <w:spacing w:before="120" w:after="120"/>
      </w:pPr>
      <w:r>
        <w:rPr>
          <w:rFonts w:hint="eastAsia"/>
        </w:rPr>
        <w:t>火场空域管理</w:t>
      </w:r>
    </w:p>
    <w:p w14:paraId="61260F3E">
      <w:pPr>
        <w:pStyle w:val="60"/>
        <w:ind w:firstLine="420"/>
      </w:pPr>
      <w:r>
        <w:rPr>
          <w:rFonts w:hint="eastAsia"/>
        </w:rPr>
        <w:t>1）空域划设与通报</w:t>
      </w:r>
    </w:p>
    <w:p w14:paraId="0C23A00F">
      <w:pPr>
        <w:pStyle w:val="60"/>
        <w:ind w:firstLine="420"/>
      </w:pPr>
      <w:r>
        <w:rPr>
          <w:rFonts w:hint="eastAsia"/>
        </w:rPr>
        <w:t>开展航空灭火作业前，航空消防力量应向空中交通管理机构申报飞行空域，明确飞行计划、航空器数量及类别、起降场地、空域范围、飞行高度、应急预案，并应向参与火灾扑救的相关方通报。</w:t>
      </w:r>
    </w:p>
    <w:p w14:paraId="4DC00D74">
      <w:pPr>
        <w:pStyle w:val="60"/>
        <w:ind w:firstLine="420"/>
      </w:pPr>
      <w:r>
        <w:rPr>
          <w:rFonts w:hint="eastAsia"/>
        </w:rPr>
        <w:t>2）进入/退出</w:t>
      </w:r>
    </w:p>
    <w:p w14:paraId="5BD10935">
      <w:pPr>
        <w:pStyle w:val="60"/>
        <w:ind w:firstLine="420"/>
      </w:pPr>
      <w:r>
        <w:rPr>
          <w:rFonts w:hint="eastAsia"/>
        </w:rPr>
        <w:t>航空消防力量进入或退出火场空域时，应根据火场前线指挥部指令，按指定的进场点、离场点及高度层飞行。</w:t>
      </w:r>
    </w:p>
    <w:p w14:paraId="7D5B2FEF">
      <w:pPr>
        <w:pStyle w:val="60"/>
        <w:ind w:firstLine="420"/>
      </w:pPr>
      <w:r>
        <w:rPr>
          <w:rFonts w:hint="eastAsia"/>
        </w:rPr>
        <w:t>3）空域冲突避让</w:t>
      </w:r>
    </w:p>
    <w:p w14:paraId="2E4AE36E">
      <w:pPr>
        <w:pStyle w:val="60"/>
        <w:ind w:firstLine="420"/>
        <w:rPr>
          <w:color w:val="0000FF"/>
        </w:rPr>
      </w:pPr>
      <w:r>
        <w:rPr>
          <w:rFonts w:hint="eastAsia"/>
        </w:rPr>
        <w:t>火场前线指挥部应合理划分航空器的飞行高度、水平间隔及飞行次序。当出现空域冲突时，遵循无人驾驶航空器避让有人驾驶航空器；低空、慢速航空器避让高空、快速航空器；待命航空器避让执行作业任务的航空器。</w:t>
      </w:r>
    </w:p>
    <w:p w14:paraId="0A03B354">
      <w:pPr>
        <w:pStyle w:val="60"/>
        <w:ind w:firstLine="420"/>
      </w:pPr>
      <w:r>
        <w:rPr>
          <w:rFonts w:hint="eastAsia"/>
        </w:rPr>
        <w:t>4）飞行监控</w:t>
      </w:r>
    </w:p>
    <w:p w14:paraId="4B03521D">
      <w:pPr>
        <w:pStyle w:val="60"/>
        <w:ind w:firstLine="420"/>
      </w:pPr>
      <w:r>
        <w:rPr>
          <w:rFonts w:hint="eastAsia"/>
        </w:rPr>
        <w:t>火场前线指挥部应对航空器飞行全过程进行监控，航空消防力量应按要求及时上报航空器飞行活动状态。</w:t>
      </w:r>
    </w:p>
    <w:p w14:paraId="59721001">
      <w:pPr>
        <w:pStyle w:val="109"/>
        <w:spacing w:before="120" w:after="120"/>
      </w:pPr>
      <w:bookmarkStart w:id="115" w:name="_Toc13827"/>
      <w:bookmarkStart w:id="116" w:name="_Toc18830"/>
      <w:bookmarkStart w:id="117" w:name="_Toc25573"/>
      <w:bookmarkStart w:id="118" w:name="_Toc2329"/>
      <w:bookmarkStart w:id="119" w:name="_Toc9880"/>
      <w:r>
        <w:rPr>
          <w:rFonts w:hint="eastAsia"/>
        </w:rPr>
        <w:t>战术行动协同</w:t>
      </w:r>
      <w:bookmarkEnd w:id="115"/>
      <w:bookmarkEnd w:id="116"/>
      <w:bookmarkEnd w:id="117"/>
      <w:bookmarkEnd w:id="118"/>
      <w:bookmarkEnd w:id="119"/>
    </w:p>
    <w:p w14:paraId="07DCDEAB">
      <w:pPr>
        <w:pStyle w:val="69"/>
        <w:spacing w:before="120" w:after="120"/>
        <w:outlineLvl w:val="9"/>
      </w:pPr>
      <w:r>
        <w:rPr>
          <w:rFonts w:hint="eastAsia"/>
        </w:rPr>
        <w:t>地空协同灭火战术</w:t>
      </w:r>
    </w:p>
    <w:p w14:paraId="3F56F39A">
      <w:pPr>
        <w:pStyle w:val="60"/>
        <w:ind w:firstLine="420"/>
      </w:pPr>
      <w:r>
        <w:rPr>
          <w:rFonts w:hint="eastAsia"/>
        </w:rPr>
        <w:t>1）直接协同配合</w:t>
      </w:r>
    </w:p>
    <w:p w14:paraId="05CC3E9B">
      <w:pPr>
        <w:pStyle w:val="60"/>
        <w:ind w:firstLine="420"/>
      </w:pPr>
      <w:r>
        <w:rPr>
          <w:rFonts w:hint="eastAsia"/>
        </w:rPr>
        <w:t>地空消防力量共同对同一火场的同一火线、同一火头进行直接扑救的扑火形式。</w:t>
      </w:r>
    </w:p>
    <w:p w14:paraId="078A63C1">
      <w:pPr>
        <w:pStyle w:val="60"/>
        <w:ind w:firstLine="420"/>
      </w:pPr>
      <w:r>
        <w:rPr>
          <w:rFonts w:hint="eastAsia"/>
        </w:rPr>
        <w:t>a）推进法</w:t>
      </w:r>
    </w:p>
    <w:p w14:paraId="6321935E">
      <w:pPr>
        <w:pStyle w:val="60"/>
        <w:ind w:firstLine="420"/>
      </w:pPr>
      <w:r>
        <w:rPr>
          <w:rFonts w:hint="eastAsia"/>
        </w:rPr>
        <w:t>地空消防力量对同一火线、火头，从同一方向进行逐步推进扑救的方法，适用于火势强烈、蔓延速度快、地面扑火队伍无法接近扑打的火线、火头。在扑救过程中，先由航空消防力量洒液降低火势强度，地面扑火队伍随即跟进扑打并清理余火。</w:t>
      </w:r>
    </w:p>
    <w:p w14:paraId="1A1F5617">
      <w:pPr>
        <w:pStyle w:val="60"/>
        <w:ind w:firstLine="420"/>
      </w:pPr>
      <w:r>
        <w:rPr>
          <w:rFonts w:hint="eastAsia"/>
        </w:rPr>
        <w:t>b）合围法</w:t>
      </w:r>
    </w:p>
    <w:p w14:paraId="3F367B22">
      <w:pPr>
        <w:pStyle w:val="60"/>
        <w:ind w:firstLine="420"/>
      </w:pPr>
      <w:r>
        <w:rPr>
          <w:rFonts w:hint="eastAsia"/>
        </w:rPr>
        <w:t>地空消防力量分别从火线两端实施扑救的方法，适用于火线一端火势较弱、地势较缓，地面扑火队伍可直接扑打火线；火线另一端地形复杂陡峭，地面扑火队伍无法接近火线，由航空消防力量进行扑救。</w:t>
      </w:r>
    </w:p>
    <w:p w14:paraId="281EABD5">
      <w:pPr>
        <w:pStyle w:val="60"/>
        <w:ind w:firstLine="420"/>
      </w:pPr>
      <w:r>
        <w:rPr>
          <w:rFonts w:hint="eastAsia"/>
        </w:rPr>
        <w:t>c）分割法</w:t>
      </w:r>
    </w:p>
    <w:p w14:paraId="3BB2D41C">
      <w:pPr>
        <w:pStyle w:val="60"/>
        <w:ind w:firstLine="420"/>
      </w:pPr>
      <w:r>
        <w:rPr>
          <w:rFonts w:hint="eastAsia"/>
        </w:rPr>
        <w:t>先由航空消防力量开展洒液作业，将火线从中分割、截断，降低火强度，地面扑火队伍跟进扑打火线，适用于连续火线长、燃烧强度大的火线。</w:t>
      </w:r>
    </w:p>
    <w:p w14:paraId="568005D2">
      <w:pPr>
        <w:pStyle w:val="60"/>
        <w:ind w:firstLine="420"/>
      </w:pPr>
      <w:r>
        <w:rPr>
          <w:rFonts w:hint="eastAsia"/>
        </w:rPr>
        <w:t>2）间接协同配合</w:t>
      </w:r>
    </w:p>
    <w:p w14:paraId="086C265B">
      <w:pPr>
        <w:pStyle w:val="60"/>
        <w:ind w:firstLine="420"/>
      </w:pPr>
      <w:r>
        <w:rPr>
          <w:rFonts w:hint="eastAsia"/>
        </w:rPr>
        <w:t>a）分点法</w:t>
      </w:r>
    </w:p>
    <w:p w14:paraId="3808151A">
      <w:pPr>
        <w:pStyle w:val="60"/>
        <w:ind w:firstLine="420"/>
      </w:pPr>
      <w:r>
        <w:rPr>
          <w:rFonts w:hint="eastAsia"/>
        </w:rPr>
        <w:t>地空消防力量采用分片包干、各点击破、各自负责的办法扑救同一个火场，适用于火场火点多、面广，不连续火线长而弱、地面扑火兵力充足、清晨风小气温低的时段。</w:t>
      </w:r>
    </w:p>
    <w:p w14:paraId="291E4816">
      <w:pPr>
        <w:pStyle w:val="60"/>
        <w:ind w:firstLine="420"/>
      </w:pPr>
      <w:r>
        <w:rPr>
          <w:rFonts w:hint="eastAsia"/>
        </w:rPr>
        <w:t>b）隔离法</w:t>
      </w:r>
    </w:p>
    <w:p w14:paraId="09C02BF8">
      <w:pPr>
        <w:pStyle w:val="60"/>
        <w:ind w:firstLine="420"/>
      </w:pPr>
      <w:r>
        <w:rPr>
          <w:rFonts w:hint="eastAsia"/>
        </w:rPr>
        <w:t>航空消防力量在火线、火头前方未烧地段进行洒液构建隔离带，地面扑火队伍以洒液隔离带为依托防守或开设防火线，阻止林火蔓延，适用于地形复杂、地势险要，地面扑火队伍无法接近的火线、火头，以及火势强烈、蔓延速度快，前方没有天然屏障进行阻隔的火线等情况。</w:t>
      </w:r>
    </w:p>
    <w:p w14:paraId="2C637082">
      <w:pPr>
        <w:pStyle w:val="69"/>
        <w:spacing w:before="120" w:after="120"/>
      </w:pPr>
      <w:r>
        <w:rPr>
          <w:rFonts w:hint="eastAsia"/>
        </w:rPr>
        <w:t>地空协同灭火作业程序</w:t>
      </w:r>
    </w:p>
    <w:p w14:paraId="7DDFF387">
      <w:pPr>
        <w:pStyle w:val="60"/>
        <w:ind w:firstLine="420"/>
      </w:pPr>
      <w:r>
        <w:rPr>
          <w:rFonts w:hint="eastAsia"/>
        </w:rPr>
        <w:t>1）通信联络建立</w:t>
      </w:r>
    </w:p>
    <w:p w14:paraId="138E8D1D">
      <w:pPr>
        <w:pStyle w:val="60"/>
        <w:ind w:firstLine="420"/>
      </w:pPr>
      <w:r>
        <w:rPr>
          <w:rFonts w:hint="eastAsia"/>
        </w:rPr>
        <w:t>火场前线指挥部、航空消防力量及地面扑火队伍之间应建立通信连接，保持通信畅通，互通火场动态与灭火作业情况。</w:t>
      </w:r>
    </w:p>
    <w:p w14:paraId="5EC849CE">
      <w:pPr>
        <w:pStyle w:val="60"/>
        <w:ind w:firstLine="420"/>
      </w:pPr>
      <w:r>
        <w:rPr>
          <w:rFonts w:hint="eastAsia"/>
        </w:rPr>
        <w:t>2）火情侦察</w:t>
      </w:r>
    </w:p>
    <w:p w14:paraId="44C44D7C">
      <w:pPr>
        <w:pStyle w:val="60"/>
        <w:ind w:firstLine="420"/>
      </w:pPr>
      <w:r>
        <w:rPr>
          <w:rFonts w:hint="eastAsia"/>
        </w:rPr>
        <w:t>地空消防力量到达火场后,派出地面侦察组或空中观察组，</w:t>
      </w:r>
      <w:r>
        <w:rPr>
          <w:rFonts w:ascii="sans-serif" w:hAnsi="sans-serif" w:eastAsia="sans-serif" w:cs="sans-serif"/>
          <w:color w:val="2E2B29"/>
          <w:szCs w:val="21"/>
          <w:shd w:val="clear" w:color="auto" w:fill="FCFAF8"/>
        </w:rPr>
        <w:t>对火场</w:t>
      </w:r>
      <w:r>
        <w:rPr>
          <w:rFonts w:hint="eastAsia" w:ascii="sans-serif" w:hAnsi="sans-serif" w:cs="sans-serif"/>
          <w:color w:val="2E2B29"/>
          <w:szCs w:val="21"/>
          <w:shd w:val="clear" w:color="auto" w:fill="FCFAF8"/>
        </w:rPr>
        <w:t>态势</w:t>
      </w:r>
      <w:r>
        <w:rPr>
          <w:rFonts w:ascii="sans-serif" w:hAnsi="sans-serif" w:eastAsia="sans-serif" w:cs="sans-serif"/>
          <w:color w:val="2E2B29"/>
          <w:szCs w:val="21"/>
          <w:shd w:val="clear" w:color="auto" w:fill="FCFAF8"/>
        </w:rPr>
        <w:t>进行侦察，并将侦察情况</w:t>
      </w:r>
      <w:r>
        <w:rPr>
          <w:rFonts w:hint="eastAsia" w:ascii="sans-serif" w:hAnsi="sans-serif" w:cs="sans-serif"/>
          <w:color w:val="2E2B29"/>
          <w:szCs w:val="21"/>
          <w:shd w:val="clear" w:color="auto" w:fill="FCFAF8"/>
        </w:rPr>
        <w:t>回传至</w:t>
      </w:r>
      <w:r>
        <w:rPr>
          <w:rFonts w:ascii="sans-serif" w:hAnsi="sans-serif" w:eastAsia="sans-serif" w:cs="sans-serif"/>
          <w:color w:val="2E2B29"/>
          <w:szCs w:val="21"/>
          <w:shd w:val="clear" w:color="auto" w:fill="FCFAF8"/>
        </w:rPr>
        <w:t>火场前线指挥部</w:t>
      </w:r>
      <w:r>
        <w:rPr>
          <w:rFonts w:hint="eastAsia"/>
        </w:rPr>
        <w:t>。</w:t>
      </w:r>
    </w:p>
    <w:p w14:paraId="39DD6C3C">
      <w:pPr>
        <w:pStyle w:val="60"/>
        <w:ind w:firstLine="420"/>
      </w:pPr>
      <w:r>
        <w:rPr>
          <w:rFonts w:hint="eastAsia"/>
        </w:rPr>
        <w:t>3）航空洒液灭火</w:t>
      </w:r>
    </w:p>
    <w:p w14:paraId="7E8DF9A2">
      <w:pPr>
        <w:pStyle w:val="60"/>
        <w:ind w:firstLine="420"/>
      </w:pPr>
      <w:r>
        <w:rPr>
          <w:rFonts w:hint="eastAsia"/>
        </w:rPr>
        <w:t>火场前线指挥部的地面联络员应向航空消防力量提供需空中支援扑救的火线、火点位置，或安排设置明显标记(红旗等)引导航空器洒液作业，反馈洒液灭火效果，协助飞行观察员校正洒液。</w:t>
      </w:r>
    </w:p>
    <w:p w14:paraId="27AEB2C4">
      <w:pPr>
        <w:pStyle w:val="60"/>
        <w:ind w:firstLine="420"/>
      </w:pPr>
      <w:r>
        <w:rPr>
          <w:rFonts w:hint="eastAsia"/>
        </w:rPr>
        <w:t>4）地面扑打火线</w:t>
      </w:r>
    </w:p>
    <w:p w14:paraId="740CC6DE">
      <w:pPr>
        <w:pStyle w:val="60"/>
        <w:ind w:firstLine="420"/>
      </w:pPr>
      <w:r>
        <w:rPr>
          <w:rFonts w:hint="eastAsia"/>
        </w:rPr>
        <w:t>航空洒液降低火势强度后，地面扑火队伍应及时跟进，对火线实施扑打和清理余火，</w:t>
      </w:r>
      <w:r>
        <w:rPr>
          <w:rFonts w:ascii="sans-serif" w:hAnsi="sans-serif" w:eastAsia="sans-serif" w:cs="sans-serif"/>
          <w:color w:val="2E2B29"/>
          <w:szCs w:val="21"/>
          <w:shd w:val="clear" w:color="auto" w:fill="FCFAF8"/>
        </w:rPr>
        <w:t>并对航空器扑灭的火线进行细致检查，加强看守，防止复燃</w:t>
      </w:r>
      <w:r>
        <w:rPr>
          <w:rFonts w:hint="eastAsia"/>
        </w:rPr>
        <w:t>。</w:t>
      </w:r>
    </w:p>
    <w:p w14:paraId="29361F4C">
      <w:pPr>
        <w:pStyle w:val="60"/>
        <w:ind w:firstLine="420"/>
      </w:pPr>
      <w:r>
        <w:rPr>
          <w:rFonts w:hint="eastAsia"/>
        </w:rPr>
        <w:t>5）火场态势监视</w:t>
      </w:r>
    </w:p>
    <w:p w14:paraId="1C5B68C6">
      <w:pPr>
        <w:pStyle w:val="60"/>
        <w:ind w:firstLine="420"/>
      </w:pPr>
      <w:r>
        <w:rPr>
          <w:rFonts w:hint="eastAsia"/>
        </w:rPr>
        <w:t>灭火飞行作业期间，飞行观察员应持续监视火场整体态势，发现火势突变或其他异常情况时，应立即通报地面联络员。</w:t>
      </w:r>
    </w:p>
    <w:p w14:paraId="79CF3650">
      <w:pPr>
        <w:pStyle w:val="60"/>
        <w:ind w:firstLine="420"/>
      </w:pPr>
      <w:r>
        <w:rPr>
          <w:rFonts w:hint="eastAsia"/>
        </w:rPr>
        <w:t>6）返航报告</w:t>
      </w:r>
    </w:p>
    <w:p w14:paraId="1D6398B8">
      <w:pPr>
        <w:pStyle w:val="60"/>
        <w:ind w:firstLine="420"/>
      </w:pPr>
      <w:r>
        <w:rPr>
          <w:rFonts w:hint="eastAsia"/>
        </w:rPr>
        <w:t>航空器因续航时间不足或临近日落需返航时，飞行观察员应在脱离火场空域前，向火场前线指挥部通报剩余可飞时间、请求最后作业任务，报告即时火场态势。</w:t>
      </w:r>
    </w:p>
    <w:p w14:paraId="10E695DA">
      <w:pPr>
        <w:pStyle w:val="69"/>
        <w:spacing w:before="120" w:after="120"/>
      </w:pPr>
      <w:r>
        <w:rPr>
          <w:rFonts w:hint="eastAsia"/>
        </w:rPr>
        <w:t>灭火力量投送</w:t>
      </w:r>
    </w:p>
    <w:p w14:paraId="790F78D9">
      <w:pPr>
        <w:pStyle w:val="60"/>
        <w:ind w:firstLine="420"/>
      </w:pPr>
      <w:r>
        <w:rPr>
          <w:rFonts w:hint="eastAsia"/>
        </w:rPr>
        <w:t>火场前线指挥部应根据火场地形、交通状况、林区重要性及火情发展态势等情况，合理选择灭火力量投送方式：</w:t>
      </w:r>
    </w:p>
    <w:p w14:paraId="619C26EC">
      <w:pPr>
        <w:pStyle w:val="60"/>
        <w:ind w:firstLine="420"/>
      </w:pPr>
      <w:r>
        <w:rPr>
          <w:rFonts w:hint="eastAsia"/>
        </w:rPr>
        <w:t>1）机降投送</w:t>
      </w:r>
    </w:p>
    <w:p w14:paraId="3E8E22F2">
      <w:pPr>
        <w:pStyle w:val="60"/>
        <w:ind w:firstLine="420"/>
      </w:pPr>
      <w:r>
        <w:rPr>
          <w:rFonts w:hint="eastAsia"/>
        </w:rPr>
        <w:t>适用于天然林保护区、自然保护区、国家重要设施所在林区等重点保护区域，以及交通不便、通信条件差、地面扑火力量薄弱或难以在短时间内抵达的偏远火场。北方林区地势相对平缓、可供机降场地较多，宜优先采用机降方式快速投送扑火力量。</w:t>
      </w:r>
    </w:p>
    <w:p w14:paraId="6DDF7760">
      <w:pPr>
        <w:pStyle w:val="60"/>
        <w:ind w:firstLine="420"/>
      </w:pPr>
      <w:r>
        <w:rPr>
          <w:rFonts w:hint="eastAsia"/>
        </w:rPr>
        <w:t>2）索（滑）降投送</w:t>
      </w:r>
    </w:p>
    <w:p w14:paraId="30F3996F">
      <w:pPr>
        <w:pStyle w:val="60"/>
        <w:ind w:firstLine="420"/>
      </w:pPr>
      <w:r>
        <w:rPr>
          <w:rFonts w:hint="eastAsia"/>
        </w:rPr>
        <w:t>适用于山高坡陡、林间缺少平缓空地或附近无机降场地的火场扑救；常用于扑打初发火、小面积火灾及无人扑救的火线，以及先行投送少量兵力开辟机降场地。南方林区受地形复杂、海拔高、热密度大等因素影响，宜优先选择索（滑）降方式投送，重点评估直升机悬停性能和载重能力；机降场地选址应对净空条件和地面承载力进行专项确认。</w:t>
      </w:r>
    </w:p>
    <w:p w14:paraId="0C51FF09">
      <w:pPr>
        <w:pStyle w:val="108"/>
        <w:spacing w:before="240" w:after="240"/>
      </w:pPr>
      <w:bookmarkStart w:id="120" w:name="_Toc7672"/>
      <w:bookmarkStart w:id="121" w:name="_Toc30045"/>
      <w:bookmarkStart w:id="122" w:name="_Toc17623"/>
      <w:bookmarkStart w:id="123" w:name="_Toc24383"/>
      <w:bookmarkStart w:id="124" w:name="_Toc18252"/>
      <w:bookmarkStart w:id="125" w:name="_Toc22827"/>
      <w:r>
        <w:rPr>
          <w:rFonts w:hint="eastAsia"/>
        </w:rPr>
        <w:t>森林草原火灾扑救火场实战数据协同</w:t>
      </w:r>
      <w:bookmarkEnd w:id="101"/>
      <w:bookmarkEnd w:id="120"/>
      <w:bookmarkEnd w:id="121"/>
      <w:bookmarkEnd w:id="122"/>
      <w:bookmarkEnd w:id="123"/>
      <w:bookmarkEnd w:id="124"/>
      <w:bookmarkEnd w:id="125"/>
    </w:p>
    <w:p w14:paraId="40B1A93A">
      <w:pPr>
        <w:pStyle w:val="109"/>
        <w:spacing w:before="120" w:after="120"/>
      </w:pPr>
      <w:bookmarkStart w:id="126" w:name="_Toc10284"/>
      <w:bookmarkStart w:id="127" w:name="_Toc21667"/>
      <w:bookmarkStart w:id="128" w:name="_Toc8402"/>
      <w:bookmarkStart w:id="129" w:name="_Toc9082"/>
      <w:bookmarkStart w:id="130" w:name="_Toc31483"/>
      <w:bookmarkStart w:id="131" w:name="_Toc406"/>
      <w:bookmarkStart w:id="132" w:name="_Toc213945301"/>
      <w:bookmarkStart w:id="133" w:name="_Toc210118564"/>
      <w:r>
        <w:rPr>
          <w:rFonts w:hint="eastAsia"/>
        </w:rPr>
        <w:t>数据采集类型</w:t>
      </w:r>
      <w:bookmarkEnd w:id="126"/>
      <w:bookmarkEnd w:id="127"/>
      <w:bookmarkEnd w:id="128"/>
      <w:bookmarkEnd w:id="129"/>
      <w:bookmarkEnd w:id="130"/>
      <w:bookmarkEnd w:id="131"/>
    </w:p>
    <w:p w14:paraId="7AB5EF4F">
      <w:pPr>
        <w:pStyle w:val="69"/>
        <w:spacing w:before="120" w:after="120"/>
      </w:pPr>
      <w:r>
        <w:rPr>
          <w:rFonts w:hint="eastAsia"/>
        </w:rPr>
        <w:t>数据来源</w:t>
      </w:r>
    </w:p>
    <w:p w14:paraId="30AA905A">
      <w:pPr>
        <w:pStyle w:val="60"/>
        <w:ind w:firstLine="420"/>
      </w:pPr>
      <w:r>
        <w:rPr>
          <w:rFonts w:hint="eastAsia"/>
        </w:rPr>
        <w:t>火场数据宜通过部门共享与多维感知相结合的方式获取，数据来源应包括下列方面：</w:t>
      </w:r>
    </w:p>
    <w:p w14:paraId="1A70A0D8">
      <w:pPr>
        <w:pStyle w:val="60"/>
        <w:ind w:firstLine="420"/>
      </w:pPr>
      <w:r>
        <w:rPr>
          <w:rFonts w:hint="eastAsia"/>
        </w:rPr>
        <w:t>1）森林草原防灭火各成员单位的共享数据；</w:t>
      </w:r>
    </w:p>
    <w:p w14:paraId="6DD73145">
      <w:pPr>
        <w:pStyle w:val="60"/>
        <w:ind w:firstLine="420"/>
      </w:pPr>
      <w:r>
        <w:rPr>
          <w:rFonts w:hint="eastAsia"/>
        </w:rPr>
        <w:t>2）地面巡护、卫星遥感、航空巡护、视频监控和物联网感知等手段采集的现场感知数据。</w:t>
      </w:r>
    </w:p>
    <w:bookmarkEnd w:id="132"/>
    <w:bookmarkEnd w:id="133"/>
    <w:p w14:paraId="738A03BF">
      <w:pPr>
        <w:pStyle w:val="69"/>
        <w:spacing w:before="120" w:after="120"/>
      </w:pPr>
      <w:bookmarkStart w:id="134" w:name="_Toc210118565"/>
      <w:r>
        <w:rPr>
          <w:rFonts w:hint="eastAsia"/>
        </w:rPr>
        <w:t>环境因素</w:t>
      </w:r>
      <w:bookmarkEnd w:id="134"/>
    </w:p>
    <w:p w14:paraId="10BEB4F2">
      <w:pPr>
        <w:pStyle w:val="60"/>
        <w:ind w:firstLine="420" w:firstLineChars="0"/>
        <w:jc w:val="left"/>
      </w:pPr>
      <w:r>
        <w:rPr>
          <w:rFonts w:hint="eastAsia"/>
        </w:rPr>
        <w:t>森林草原火灾扑救地空协同环境因素相关数据包括气象、气候、地质地貌等信息，具体内容见表1。</w:t>
      </w:r>
    </w:p>
    <w:p w14:paraId="7F305372">
      <w:pPr>
        <w:pStyle w:val="60"/>
        <w:ind w:firstLine="0" w:firstLineChars="0"/>
        <w:jc w:val="center"/>
      </w:pPr>
      <w:r>
        <w:rPr>
          <w:rFonts w:hint="eastAsia"/>
        </w:rPr>
        <w:t>表1 森林草原火灾扑救地空协同环境因素相关数据</w:t>
      </w:r>
    </w:p>
    <w:tbl>
      <w:tblPr>
        <w:tblStyle w:val="3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6"/>
        <w:gridCol w:w="1329"/>
        <w:gridCol w:w="6112"/>
        <w:gridCol w:w="1363"/>
      </w:tblGrid>
      <w:tr w14:paraId="1624B6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00" w:type="pct"/>
            <w:vAlign w:val="center"/>
          </w:tcPr>
          <w:p w14:paraId="7BFE2AB5">
            <w:pPr>
              <w:pStyle w:val="60"/>
              <w:ind w:firstLine="0" w:firstLineChars="0"/>
              <w:jc w:val="center"/>
            </w:pPr>
            <w:r>
              <w:rPr>
                <w:rFonts w:hint="eastAsia"/>
              </w:rPr>
              <w:t>序号</w:t>
            </w:r>
          </w:p>
        </w:tc>
        <w:tc>
          <w:tcPr>
            <w:tcW w:w="694" w:type="pct"/>
            <w:vAlign w:val="center"/>
          </w:tcPr>
          <w:p w14:paraId="60B949FA">
            <w:pPr>
              <w:pStyle w:val="60"/>
              <w:ind w:firstLine="0" w:firstLineChars="0"/>
              <w:jc w:val="center"/>
            </w:pPr>
            <w:r>
              <w:rPr>
                <w:rFonts w:hint="eastAsia"/>
              </w:rPr>
              <w:t>数据类别</w:t>
            </w:r>
          </w:p>
        </w:tc>
        <w:tc>
          <w:tcPr>
            <w:tcW w:w="3192" w:type="pct"/>
            <w:vAlign w:val="center"/>
          </w:tcPr>
          <w:p w14:paraId="3F57EF23">
            <w:pPr>
              <w:pStyle w:val="60"/>
              <w:ind w:firstLine="0" w:firstLineChars="0"/>
              <w:jc w:val="center"/>
            </w:pPr>
            <w:r>
              <w:rPr>
                <w:rFonts w:hint="eastAsia"/>
              </w:rPr>
              <w:t>数据项</w:t>
            </w:r>
          </w:p>
        </w:tc>
        <w:tc>
          <w:tcPr>
            <w:tcW w:w="712" w:type="pct"/>
            <w:vAlign w:val="center"/>
          </w:tcPr>
          <w:p w14:paraId="2B7DDA19">
            <w:pPr>
              <w:pStyle w:val="60"/>
              <w:ind w:firstLine="0" w:firstLineChars="0"/>
              <w:jc w:val="center"/>
            </w:pPr>
            <w:r>
              <w:rPr>
                <w:rFonts w:hint="eastAsia"/>
              </w:rPr>
              <w:t>数据属性</w:t>
            </w:r>
          </w:p>
        </w:tc>
      </w:tr>
      <w:tr w14:paraId="3D6585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00" w:type="pct"/>
            <w:vAlign w:val="center"/>
          </w:tcPr>
          <w:p w14:paraId="1975F4D8">
            <w:pPr>
              <w:pStyle w:val="60"/>
              <w:ind w:firstLine="0" w:firstLineChars="0"/>
              <w:jc w:val="center"/>
            </w:pPr>
            <w:r>
              <w:rPr>
                <w:rFonts w:hint="eastAsia"/>
              </w:rPr>
              <w:t>1</w:t>
            </w:r>
          </w:p>
        </w:tc>
        <w:tc>
          <w:tcPr>
            <w:tcW w:w="694" w:type="pct"/>
            <w:vAlign w:val="center"/>
          </w:tcPr>
          <w:p w14:paraId="5D3EC621">
            <w:pPr>
              <w:pStyle w:val="60"/>
              <w:ind w:firstLine="0" w:firstLineChars="0"/>
              <w:jc w:val="center"/>
            </w:pPr>
            <w:r>
              <w:rPr>
                <w:rFonts w:hint="eastAsia"/>
              </w:rPr>
              <w:t>气象信息</w:t>
            </w:r>
          </w:p>
        </w:tc>
        <w:tc>
          <w:tcPr>
            <w:tcW w:w="3192" w:type="pct"/>
            <w:vAlign w:val="center"/>
          </w:tcPr>
          <w:p w14:paraId="4C43BAA7">
            <w:pPr>
              <w:pStyle w:val="60"/>
              <w:ind w:firstLine="0" w:firstLineChars="0"/>
            </w:pPr>
            <w:r>
              <w:rPr>
                <w:rFonts w:hint="eastAsia"/>
              </w:rPr>
              <w:t>温度、湿度、风速、风向、雨量、气压、太阳辐射强度、大气状况等。</w:t>
            </w:r>
          </w:p>
        </w:tc>
        <w:tc>
          <w:tcPr>
            <w:tcW w:w="712" w:type="pct"/>
            <w:vAlign w:val="center"/>
          </w:tcPr>
          <w:p w14:paraId="5D5C6A43">
            <w:pPr>
              <w:pStyle w:val="60"/>
              <w:ind w:firstLine="0" w:firstLineChars="0"/>
              <w:jc w:val="center"/>
            </w:pPr>
            <w:r>
              <w:rPr>
                <w:rFonts w:hint="eastAsia"/>
              </w:rPr>
              <w:t>动态数据</w:t>
            </w:r>
          </w:p>
        </w:tc>
      </w:tr>
      <w:tr w14:paraId="7612F9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00" w:type="pct"/>
            <w:vAlign w:val="center"/>
          </w:tcPr>
          <w:p w14:paraId="7AB0EEF8">
            <w:pPr>
              <w:pStyle w:val="60"/>
              <w:ind w:firstLine="0" w:firstLineChars="0"/>
              <w:jc w:val="center"/>
            </w:pPr>
            <w:r>
              <w:rPr>
                <w:rFonts w:hint="eastAsia"/>
              </w:rPr>
              <w:t>2</w:t>
            </w:r>
          </w:p>
        </w:tc>
        <w:tc>
          <w:tcPr>
            <w:tcW w:w="694" w:type="pct"/>
            <w:vAlign w:val="center"/>
          </w:tcPr>
          <w:p w14:paraId="70CC91D5">
            <w:pPr>
              <w:pStyle w:val="60"/>
              <w:ind w:firstLine="0" w:firstLineChars="0"/>
              <w:jc w:val="center"/>
            </w:pPr>
            <w:r>
              <w:rPr>
                <w:rFonts w:hint="eastAsia"/>
              </w:rPr>
              <w:t>气候</w:t>
            </w:r>
          </w:p>
        </w:tc>
        <w:tc>
          <w:tcPr>
            <w:tcW w:w="3192" w:type="pct"/>
            <w:vAlign w:val="center"/>
          </w:tcPr>
          <w:p w14:paraId="73038E63">
            <w:pPr>
              <w:pStyle w:val="60"/>
              <w:ind w:firstLine="0" w:firstLineChars="0"/>
            </w:pPr>
            <w:r>
              <w:rPr>
                <w:rFonts w:hint="eastAsia"/>
              </w:rPr>
              <w:t>湿润气候区、干燥气候区、极湿气候区、半干旱气候区等。</w:t>
            </w:r>
          </w:p>
        </w:tc>
        <w:tc>
          <w:tcPr>
            <w:tcW w:w="712" w:type="pct"/>
            <w:vAlign w:val="center"/>
          </w:tcPr>
          <w:p w14:paraId="6A7A6F76">
            <w:pPr>
              <w:pStyle w:val="60"/>
              <w:ind w:firstLine="0" w:firstLineChars="0"/>
              <w:jc w:val="center"/>
            </w:pPr>
            <w:r>
              <w:rPr>
                <w:rFonts w:hint="eastAsia"/>
              </w:rPr>
              <w:t>静态数据</w:t>
            </w:r>
          </w:p>
        </w:tc>
      </w:tr>
      <w:tr w14:paraId="769172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00" w:type="pct"/>
            <w:vAlign w:val="center"/>
          </w:tcPr>
          <w:p w14:paraId="51014CB2">
            <w:pPr>
              <w:pStyle w:val="60"/>
              <w:ind w:firstLine="0" w:firstLineChars="0"/>
              <w:jc w:val="center"/>
            </w:pPr>
            <w:r>
              <w:rPr>
                <w:rFonts w:hint="eastAsia"/>
              </w:rPr>
              <w:t>3</w:t>
            </w:r>
          </w:p>
        </w:tc>
        <w:tc>
          <w:tcPr>
            <w:tcW w:w="694" w:type="pct"/>
            <w:vAlign w:val="center"/>
          </w:tcPr>
          <w:p w14:paraId="39E82367">
            <w:pPr>
              <w:pStyle w:val="60"/>
              <w:ind w:firstLine="0" w:firstLineChars="0"/>
              <w:jc w:val="center"/>
            </w:pPr>
            <w:r>
              <w:rPr>
                <w:rFonts w:hint="eastAsia"/>
              </w:rPr>
              <w:t>地质地貌</w:t>
            </w:r>
          </w:p>
        </w:tc>
        <w:tc>
          <w:tcPr>
            <w:tcW w:w="3192" w:type="pct"/>
            <w:vAlign w:val="center"/>
          </w:tcPr>
          <w:p w14:paraId="19A2FEFC">
            <w:pPr>
              <w:pStyle w:val="60"/>
              <w:ind w:firstLine="0" w:firstLineChars="0"/>
            </w:pPr>
            <w:r>
              <w:rPr>
                <w:rFonts w:hint="eastAsia"/>
              </w:rPr>
              <w:t>悬崖陡峭、海拔带、滑坡滚石区、易燃易爆区等。</w:t>
            </w:r>
          </w:p>
        </w:tc>
        <w:tc>
          <w:tcPr>
            <w:tcW w:w="712" w:type="pct"/>
            <w:vAlign w:val="center"/>
          </w:tcPr>
          <w:p w14:paraId="1D1CD7D9">
            <w:pPr>
              <w:pStyle w:val="60"/>
              <w:ind w:firstLine="0" w:firstLineChars="0"/>
              <w:jc w:val="center"/>
            </w:pPr>
            <w:r>
              <w:rPr>
                <w:rFonts w:hint="eastAsia"/>
              </w:rPr>
              <w:t>静态数据</w:t>
            </w:r>
          </w:p>
        </w:tc>
      </w:tr>
      <w:tr w14:paraId="7BA565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00" w:type="pct"/>
            <w:vAlign w:val="center"/>
          </w:tcPr>
          <w:p w14:paraId="44E47971">
            <w:pPr>
              <w:pStyle w:val="60"/>
              <w:ind w:firstLine="0" w:firstLineChars="0"/>
              <w:jc w:val="center"/>
            </w:pPr>
            <w:r>
              <w:rPr>
                <w:rFonts w:hint="eastAsia"/>
              </w:rPr>
              <w:t>4</w:t>
            </w:r>
          </w:p>
        </w:tc>
        <w:tc>
          <w:tcPr>
            <w:tcW w:w="694" w:type="pct"/>
            <w:vAlign w:val="center"/>
          </w:tcPr>
          <w:p w14:paraId="0C13C563">
            <w:pPr>
              <w:pStyle w:val="60"/>
              <w:ind w:firstLine="0" w:firstLineChars="0"/>
              <w:jc w:val="center"/>
            </w:pPr>
            <w:r>
              <w:rPr>
                <w:rFonts w:hint="eastAsia"/>
              </w:rPr>
              <w:t>地形</w:t>
            </w:r>
          </w:p>
        </w:tc>
        <w:tc>
          <w:tcPr>
            <w:tcW w:w="3192" w:type="pct"/>
            <w:vAlign w:val="center"/>
          </w:tcPr>
          <w:p w14:paraId="6D881891">
            <w:pPr>
              <w:pStyle w:val="60"/>
              <w:ind w:firstLine="0" w:firstLineChars="0"/>
            </w:pPr>
            <w:r>
              <w:rPr>
                <w:rFonts w:hint="eastAsia"/>
              </w:rPr>
              <w:t>坡形、起伏度、粗糙度、坡长、坡位等。</w:t>
            </w:r>
          </w:p>
        </w:tc>
        <w:tc>
          <w:tcPr>
            <w:tcW w:w="712" w:type="pct"/>
            <w:vAlign w:val="center"/>
          </w:tcPr>
          <w:p w14:paraId="192355F5">
            <w:pPr>
              <w:pStyle w:val="60"/>
              <w:ind w:firstLine="0" w:firstLineChars="0"/>
              <w:jc w:val="center"/>
            </w:pPr>
            <w:r>
              <w:rPr>
                <w:rFonts w:hint="eastAsia"/>
              </w:rPr>
              <w:t>静态数据</w:t>
            </w:r>
          </w:p>
        </w:tc>
      </w:tr>
      <w:tr w14:paraId="1BA197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00" w:type="pct"/>
            <w:vAlign w:val="center"/>
          </w:tcPr>
          <w:p w14:paraId="1330129D">
            <w:pPr>
              <w:pStyle w:val="60"/>
              <w:ind w:firstLine="0" w:firstLineChars="0"/>
              <w:jc w:val="center"/>
            </w:pPr>
            <w:r>
              <w:rPr>
                <w:rFonts w:hint="eastAsia"/>
              </w:rPr>
              <w:t>5</w:t>
            </w:r>
          </w:p>
        </w:tc>
        <w:tc>
          <w:tcPr>
            <w:tcW w:w="694" w:type="pct"/>
            <w:vAlign w:val="center"/>
          </w:tcPr>
          <w:p w14:paraId="3646BD9E">
            <w:pPr>
              <w:pStyle w:val="60"/>
              <w:ind w:firstLine="0" w:firstLineChars="0"/>
              <w:jc w:val="center"/>
            </w:pPr>
            <w:r>
              <w:rPr>
                <w:rFonts w:hint="eastAsia"/>
              </w:rPr>
              <w:t>可燃物</w:t>
            </w:r>
          </w:p>
        </w:tc>
        <w:tc>
          <w:tcPr>
            <w:tcW w:w="3192" w:type="pct"/>
            <w:vAlign w:val="center"/>
          </w:tcPr>
          <w:p w14:paraId="52E53329">
            <w:pPr>
              <w:pStyle w:val="60"/>
              <w:ind w:firstLine="0" w:firstLineChars="0"/>
            </w:pPr>
            <w:r>
              <w:rPr>
                <w:rFonts w:hint="eastAsia"/>
              </w:rPr>
              <w:t>可燃物载量、分布格局、大小、密度、表面积体积比、含水率、热值、结构组成等。</w:t>
            </w:r>
          </w:p>
        </w:tc>
        <w:tc>
          <w:tcPr>
            <w:tcW w:w="712" w:type="pct"/>
            <w:vAlign w:val="center"/>
          </w:tcPr>
          <w:p w14:paraId="3DE880CA">
            <w:pPr>
              <w:pStyle w:val="60"/>
              <w:ind w:firstLine="0" w:firstLineChars="0"/>
              <w:jc w:val="center"/>
            </w:pPr>
            <w:r>
              <w:rPr>
                <w:rFonts w:hint="eastAsia"/>
              </w:rPr>
              <w:t>静态数据</w:t>
            </w:r>
          </w:p>
        </w:tc>
      </w:tr>
      <w:tr w14:paraId="33834D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00" w:type="pct"/>
            <w:vMerge w:val="restart"/>
            <w:vAlign w:val="center"/>
          </w:tcPr>
          <w:p w14:paraId="213E0CB4">
            <w:pPr>
              <w:pStyle w:val="60"/>
              <w:ind w:firstLine="0" w:firstLineChars="0"/>
              <w:jc w:val="center"/>
            </w:pPr>
            <w:r>
              <w:rPr>
                <w:rFonts w:hint="eastAsia"/>
              </w:rPr>
              <w:t>6</w:t>
            </w:r>
          </w:p>
        </w:tc>
        <w:tc>
          <w:tcPr>
            <w:tcW w:w="694" w:type="pct"/>
            <w:vMerge w:val="restart"/>
            <w:vAlign w:val="center"/>
          </w:tcPr>
          <w:p w14:paraId="647A0AE3">
            <w:pPr>
              <w:pStyle w:val="60"/>
              <w:ind w:firstLine="0" w:firstLineChars="0"/>
              <w:jc w:val="center"/>
            </w:pPr>
            <w:r>
              <w:rPr>
                <w:rFonts w:hint="eastAsia"/>
              </w:rPr>
              <w:t>土壤</w:t>
            </w:r>
          </w:p>
        </w:tc>
        <w:tc>
          <w:tcPr>
            <w:tcW w:w="3192" w:type="pct"/>
            <w:vAlign w:val="center"/>
          </w:tcPr>
          <w:p w14:paraId="39009AD4">
            <w:pPr>
              <w:pStyle w:val="60"/>
              <w:ind w:firstLine="0" w:firstLineChars="0"/>
            </w:pPr>
            <w:r>
              <w:rPr>
                <w:rFonts w:hint="eastAsia"/>
              </w:rPr>
              <w:t>浅层矿物、地下水位等。</w:t>
            </w:r>
          </w:p>
        </w:tc>
        <w:tc>
          <w:tcPr>
            <w:tcW w:w="712" w:type="pct"/>
            <w:vAlign w:val="center"/>
          </w:tcPr>
          <w:p w14:paraId="67409439">
            <w:pPr>
              <w:pStyle w:val="60"/>
              <w:ind w:firstLine="0" w:firstLineChars="0"/>
              <w:jc w:val="center"/>
            </w:pPr>
            <w:r>
              <w:rPr>
                <w:rFonts w:hint="eastAsia"/>
              </w:rPr>
              <w:t>静态数据</w:t>
            </w:r>
          </w:p>
        </w:tc>
      </w:tr>
      <w:tr w14:paraId="1F3FE4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00" w:type="pct"/>
            <w:vMerge w:val="continue"/>
            <w:vAlign w:val="center"/>
          </w:tcPr>
          <w:p w14:paraId="4F3D94E7">
            <w:pPr>
              <w:pStyle w:val="60"/>
              <w:ind w:firstLine="0" w:firstLineChars="0"/>
              <w:jc w:val="center"/>
            </w:pPr>
          </w:p>
        </w:tc>
        <w:tc>
          <w:tcPr>
            <w:tcW w:w="694" w:type="pct"/>
            <w:vMerge w:val="continue"/>
            <w:vAlign w:val="center"/>
          </w:tcPr>
          <w:p w14:paraId="08864101">
            <w:pPr>
              <w:pStyle w:val="60"/>
              <w:ind w:firstLine="0" w:firstLineChars="0"/>
              <w:jc w:val="center"/>
            </w:pPr>
          </w:p>
        </w:tc>
        <w:tc>
          <w:tcPr>
            <w:tcW w:w="3192" w:type="pct"/>
            <w:vAlign w:val="center"/>
          </w:tcPr>
          <w:p w14:paraId="21788A19">
            <w:pPr>
              <w:pStyle w:val="60"/>
              <w:ind w:firstLine="0" w:firstLineChars="0"/>
            </w:pPr>
            <w:r>
              <w:rPr>
                <w:rFonts w:hint="eastAsia"/>
              </w:rPr>
              <w:t>土壤湿度、土壤温度等。</w:t>
            </w:r>
          </w:p>
        </w:tc>
        <w:tc>
          <w:tcPr>
            <w:tcW w:w="712" w:type="pct"/>
            <w:vAlign w:val="center"/>
          </w:tcPr>
          <w:p w14:paraId="2856A68B">
            <w:pPr>
              <w:pStyle w:val="60"/>
              <w:ind w:firstLine="0" w:firstLineChars="0"/>
              <w:jc w:val="center"/>
            </w:pPr>
            <w:r>
              <w:rPr>
                <w:rFonts w:hint="eastAsia"/>
              </w:rPr>
              <w:t>动态数据</w:t>
            </w:r>
          </w:p>
        </w:tc>
      </w:tr>
      <w:tr w14:paraId="7ABAEA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00" w:type="pct"/>
            <w:vAlign w:val="center"/>
          </w:tcPr>
          <w:p w14:paraId="713109E8">
            <w:pPr>
              <w:pStyle w:val="60"/>
              <w:ind w:firstLine="0" w:firstLineChars="0"/>
              <w:jc w:val="center"/>
            </w:pPr>
            <w:r>
              <w:rPr>
                <w:rFonts w:hint="eastAsia"/>
              </w:rPr>
              <w:t>7</w:t>
            </w:r>
          </w:p>
        </w:tc>
        <w:tc>
          <w:tcPr>
            <w:tcW w:w="694" w:type="pct"/>
            <w:vAlign w:val="center"/>
          </w:tcPr>
          <w:p w14:paraId="01560B10">
            <w:pPr>
              <w:pStyle w:val="60"/>
              <w:ind w:firstLine="0" w:firstLineChars="0"/>
              <w:jc w:val="center"/>
            </w:pPr>
            <w:r>
              <w:rPr>
                <w:rFonts w:hint="eastAsia"/>
              </w:rPr>
              <w:t>重要区域</w:t>
            </w:r>
          </w:p>
        </w:tc>
        <w:tc>
          <w:tcPr>
            <w:tcW w:w="3192" w:type="pct"/>
            <w:vAlign w:val="center"/>
          </w:tcPr>
          <w:p w14:paraId="5CF30900">
            <w:pPr>
              <w:pStyle w:val="60"/>
              <w:ind w:firstLine="0" w:firstLineChars="0"/>
            </w:pPr>
            <w:r>
              <w:rPr>
                <w:rFonts w:hint="eastAsia"/>
              </w:rPr>
              <w:t>国界周边区、原始森林、水域、军事区、城乡社区等。</w:t>
            </w:r>
          </w:p>
        </w:tc>
        <w:tc>
          <w:tcPr>
            <w:tcW w:w="712" w:type="pct"/>
            <w:vAlign w:val="center"/>
          </w:tcPr>
          <w:p w14:paraId="72AD3AEF">
            <w:pPr>
              <w:pStyle w:val="60"/>
              <w:ind w:firstLine="0" w:firstLineChars="0"/>
              <w:jc w:val="center"/>
            </w:pPr>
            <w:r>
              <w:rPr>
                <w:rFonts w:hint="eastAsia"/>
              </w:rPr>
              <w:t>静态数据</w:t>
            </w:r>
          </w:p>
        </w:tc>
      </w:tr>
      <w:tr w14:paraId="70D49A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00" w:type="pct"/>
            <w:vAlign w:val="center"/>
          </w:tcPr>
          <w:p w14:paraId="6FCC680B">
            <w:pPr>
              <w:pStyle w:val="60"/>
              <w:ind w:firstLine="0" w:firstLineChars="0"/>
              <w:jc w:val="center"/>
            </w:pPr>
            <w:r>
              <w:rPr>
                <w:rFonts w:hint="eastAsia"/>
              </w:rPr>
              <w:t>8</w:t>
            </w:r>
          </w:p>
        </w:tc>
        <w:tc>
          <w:tcPr>
            <w:tcW w:w="694" w:type="pct"/>
            <w:vAlign w:val="center"/>
          </w:tcPr>
          <w:p w14:paraId="0FC052EE">
            <w:pPr>
              <w:pStyle w:val="60"/>
              <w:ind w:firstLine="0" w:firstLineChars="0"/>
              <w:jc w:val="center"/>
            </w:pPr>
            <w:r>
              <w:rPr>
                <w:rFonts w:hint="eastAsia"/>
              </w:rPr>
              <w:t>重要目标</w:t>
            </w:r>
          </w:p>
        </w:tc>
        <w:tc>
          <w:tcPr>
            <w:tcW w:w="3192" w:type="pct"/>
            <w:vAlign w:val="center"/>
          </w:tcPr>
          <w:p w14:paraId="603A1B59">
            <w:pPr>
              <w:pStyle w:val="60"/>
              <w:ind w:firstLine="0" w:firstLineChars="0"/>
            </w:pPr>
            <w:r>
              <w:rPr>
                <w:rFonts w:hint="eastAsia"/>
              </w:rPr>
              <w:t>重要基础设施、油气储罐、危化品仓库、居民点、易燃易爆危险源、水源。</w:t>
            </w:r>
          </w:p>
        </w:tc>
        <w:tc>
          <w:tcPr>
            <w:tcW w:w="712" w:type="pct"/>
            <w:vAlign w:val="center"/>
          </w:tcPr>
          <w:p w14:paraId="30380996">
            <w:pPr>
              <w:pStyle w:val="60"/>
              <w:ind w:firstLine="0" w:firstLineChars="0"/>
              <w:jc w:val="center"/>
            </w:pPr>
            <w:r>
              <w:rPr>
                <w:rFonts w:hint="eastAsia"/>
              </w:rPr>
              <w:t>静态数据</w:t>
            </w:r>
          </w:p>
        </w:tc>
      </w:tr>
    </w:tbl>
    <w:p w14:paraId="273EE13A">
      <w:pPr>
        <w:pStyle w:val="69"/>
        <w:spacing w:before="120" w:after="120"/>
      </w:pPr>
      <w:bookmarkStart w:id="135" w:name="_Toc210118566"/>
      <w:r>
        <w:rPr>
          <w:rFonts w:hint="eastAsia"/>
        </w:rPr>
        <w:t>林火对象</w:t>
      </w:r>
      <w:bookmarkEnd w:id="135"/>
    </w:p>
    <w:p w14:paraId="325323A5">
      <w:pPr>
        <w:pStyle w:val="60"/>
        <w:ind w:firstLine="420" w:firstLineChars="0"/>
        <w:jc w:val="left"/>
      </w:pPr>
      <w:r>
        <w:rPr>
          <w:rFonts w:hint="eastAsia"/>
        </w:rPr>
        <w:t>森林草原火灾扑救地空协同林火对象相关数据包括火场、火线、能见度等信息，具体内容见表2。</w:t>
      </w:r>
    </w:p>
    <w:p w14:paraId="3A8B45E9">
      <w:pPr>
        <w:pStyle w:val="60"/>
        <w:ind w:firstLine="0" w:firstLineChars="0"/>
        <w:jc w:val="center"/>
      </w:pPr>
      <w:r>
        <w:rPr>
          <w:rFonts w:hint="eastAsia"/>
        </w:rPr>
        <w:t>表2 森林草原火灾扑救地空协同林火对象相关数据</w:t>
      </w:r>
    </w:p>
    <w:tbl>
      <w:tblPr>
        <w:tblStyle w:val="3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5"/>
        <w:gridCol w:w="1329"/>
        <w:gridCol w:w="6113"/>
        <w:gridCol w:w="1363"/>
      </w:tblGrid>
      <w:tr w14:paraId="153413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00" w:type="pct"/>
            <w:vAlign w:val="center"/>
          </w:tcPr>
          <w:p w14:paraId="0C05D4BD">
            <w:pPr>
              <w:pStyle w:val="60"/>
              <w:ind w:firstLine="0" w:firstLineChars="0"/>
              <w:jc w:val="center"/>
            </w:pPr>
            <w:r>
              <w:rPr>
                <w:rFonts w:hint="eastAsia"/>
              </w:rPr>
              <w:t>序号</w:t>
            </w:r>
          </w:p>
        </w:tc>
        <w:tc>
          <w:tcPr>
            <w:tcW w:w="694" w:type="pct"/>
            <w:vAlign w:val="center"/>
          </w:tcPr>
          <w:p w14:paraId="56BF0903">
            <w:pPr>
              <w:pStyle w:val="60"/>
              <w:ind w:firstLine="0" w:firstLineChars="0"/>
              <w:jc w:val="center"/>
            </w:pPr>
            <w:r>
              <w:rPr>
                <w:rFonts w:hint="eastAsia"/>
              </w:rPr>
              <w:t>数据类别</w:t>
            </w:r>
          </w:p>
        </w:tc>
        <w:tc>
          <w:tcPr>
            <w:tcW w:w="3193" w:type="pct"/>
            <w:vAlign w:val="center"/>
          </w:tcPr>
          <w:p w14:paraId="79C99453">
            <w:pPr>
              <w:pStyle w:val="60"/>
              <w:ind w:firstLine="0" w:firstLineChars="0"/>
              <w:jc w:val="center"/>
            </w:pPr>
            <w:r>
              <w:rPr>
                <w:rFonts w:hint="eastAsia"/>
              </w:rPr>
              <w:t>数据项</w:t>
            </w:r>
          </w:p>
        </w:tc>
        <w:tc>
          <w:tcPr>
            <w:tcW w:w="712" w:type="pct"/>
            <w:vAlign w:val="center"/>
          </w:tcPr>
          <w:p w14:paraId="454C24FF">
            <w:pPr>
              <w:pStyle w:val="60"/>
              <w:ind w:firstLine="0" w:firstLineChars="0"/>
              <w:jc w:val="center"/>
            </w:pPr>
            <w:r>
              <w:rPr>
                <w:rFonts w:hint="eastAsia"/>
              </w:rPr>
              <w:t>数据属性</w:t>
            </w:r>
          </w:p>
        </w:tc>
      </w:tr>
      <w:tr w14:paraId="1343BB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00" w:type="pct"/>
            <w:vMerge w:val="restart"/>
            <w:vAlign w:val="center"/>
          </w:tcPr>
          <w:p w14:paraId="09D8CB7B">
            <w:pPr>
              <w:pStyle w:val="60"/>
              <w:ind w:firstLine="0" w:firstLineChars="0"/>
              <w:jc w:val="center"/>
            </w:pPr>
            <w:r>
              <w:rPr>
                <w:rFonts w:hint="eastAsia"/>
              </w:rPr>
              <w:t>1</w:t>
            </w:r>
          </w:p>
        </w:tc>
        <w:tc>
          <w:tcPr>
            <w:tcW w:w="694" w:type="pct"/>
            <w:vMerge w:val="restart"/>
            <w:vAlign w:val="center"/>
          </w:tcPr>
          <w:p w14:paraId="5D02F397">
            <w:pPr>
              <w:pStyle w:val="60"/>
              <w:ind w:firstLine="0" w:firstLineChars="0"/>
              <w:jc w:val="center"/>
            </w:pPr>
            <w:r>
              <w:rPr>
                <w:rFonts w:hint="eastAsia"/>
              </w:rPr>
              <w:t>基本信息</w:t>
            </w:r>
          </w:p>
        </w:tc>
        <w:tc>
          <w:tcPr>
            <w:tcW w:w="3193" w:type="pct"/>
            <w:vAlign w:val="center"/>
          </w:tcPr>
          <w:p w14:paraId="5547D3C0">
            <w:pPr>
              <w:pStyle w:val="60"/>
              <w:ind w:firstLine="0" w:firstLineChars="0"/>
            </w:pPr>
            <w:r>
              <w:rPr>
                <w:rFonts w:hint="eastAsia"/>
              </w:rPr>
              <w:t>森林草原位置、面积、主管单位及最高负责人、森林内部及周围人口数及分布等。</w:t>
            </w:r>
          </w:p>
        </w:tc>
        <w:tc>
          <w:tcPr>
            <w:tcW w:w="712" w:type="pct"/>
            <w:vAlign w:val="center"/>
          </w:tcPr>
          <w:p w14:paraId="3F935C2B">
            <w:pPr>
              <w:pStyle w:val="60"/>
              <w:ind w:firstLine="0" w:firstLineChars="0"/>
              <w:jc w:val="center"/>
            </w:pPr>
            <w:r>
              <w:rPr>
                <w:rFonts w:hint="eastAsia"/>
              </w:rPr>
              <w:t>静态数据</w:t>
            </w:r>
          </w:p>
        </w:tc>
      </w:tr>
      <w:tr w14:paraId="025AC9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00" w:type="pct"/>
            <w:vMerge w:val="continue"/>
            <w:vAlign w:val="center"/>
          </w:tcPr>
          <w:p w14:paraId="287494F2">
            <w:pPr>
              <w:pStyle w:val="60"/>
              <w:ind w:firstLine="0" w:firstLineChars="0"/>
              <w:jc w:val="center"/>
            </w:pPr>
          </w:p>
        </w:tc>
        <w:tc>
          <w:tcPr>
            <w:tcW w:w="694" w:type="pct"/>
            <w:vMerge w:val="continue"/>
            <w:vAlign w:val="center"/>
          </w:tcPr>
          <w:p w14:paraId="1B82CEF3">
            <w:pPr>
              <w:pStyle w:val="60"/>
              <w:ind w:firstLine="0" w:firstLineChars="0"/>
              <w:jc w:val="center"/>
            </w:pPr>
          </w:p>
        </w:tc>
        <w:tc>
          <w:tcPr>
            <w:tcW w:w="3193" w:type="pct"/>
            <w:vAlign w:val="center"/>
          </w:tcPr>
          <w:p w14:paraId="0449FB40">
            <w:pPr>
              <w:pStyle w:val="60"/>
              <w:ind w:firstLine="0" w:firstLineChars="0"/>
            </w:pPr>
            <w:r>
              <w:rPr>
                <w:rFonts w:hint="eastAsia"/>
              </w:rPr>
              <w:t>灾区航拍图像、卫星遥感图像，热成像图像。</w:t>
            </w:r>
          </w:p>
        </w:tc>
        <w:tc>
          <w:tcPr>
            <w:tcW w:w="712" w:type="pct"/>
            <w:vAlign w:val="center"/>
          </w:tcPr>
          <w:p w14:paraId="253877DB">
            <w:pPr>
              <w:pStyle w:val="60"/>
              <w:ind w:firstLine="0" w:firstLineChars="0"/>
              <w:jc w:val="center"/>
            </w:pPr>
            <w:r>
              <w:rPr>
                <w:rFonts w:hint="eastAsia"/>
              </w:rPr>
              <w:t>动态数据</w:t>
            </w:r>
          </w:p>
        </w:tc>
      </w:tr>
      <w:tr w14:paraId="604A43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00" w:type="pct"/>
            <w:vAlign w:val="center"/>
          </w:tcPr>
          <w:p w14:paraId="6FF01AA5">
            <w:pPr>
              <w:pStyle w:val="60"/>
              <w:ind w:firstLine="0" w:firstLineChars="0"/>
              <w:jc w:val="center"/>
            </w:pPr>
            <w:r>
              <w:rPr>
                <w:rFonts w:hint="eastAsia"/>
              </w:rPr>
              <w:t>2</w:t>
            </w:r>
          </w:p>
        </w:tc>
        <w:tc>
          <w:tcPr>
            <w:tcW w:w="694" w:type="pct"/>
            <w:vAlign w:val="center"/>
          </w:tcPr>
          <w:p w14:paraId="693B172A">
            <w:pPr>
              <w:pStyle w:val="60"/>
              <w:ind w:firstLine="0" w:firstLineChars="0"/>
              <w:jc w:val="center"/>
            </w:pPr>
            <w:r>
              <w:rPr>
                <w:rFonts w:hint="eastAsia"/>
              </w:rPr>
              <w:t>火场信息</w:t>
            </w:r>
          </w:p>
        </w:tc>
        <w:tc>
          <w:tcPr>
            <w:tcW w:w="3193" w:type="pct"/>
            <w:vAlign w:val="center"/>
          </w:tcPr>
          <w:p w14:paraId="1AF49454">
            <w:pPr>
              <w:pStyle w:val="60"/>
              <w:ind w:firstLine="0" w:firstLineChars="0"/>
            </w:pPr>
            <w:r>
              <w:rPr>
                <w:rFonts w:hint="eastAsia"/>
              </w:rPr>
              <w:t>火烈度、火场形状、火场面积、火场周界等。</w:t>
            </w:r>
          </w:p>
        </w:tc>
        <w:tc>
          <w:tcPr>
            <w:tcW w:w="712" w:type="pct"/>
            <w:vAlign w:val="center"/>
          </w:tcPr>
          <w:p w14:paraId="33EB2DD6">
            <w:pPr>
              <w:pStyle w:val="60"/>
              <w:ind w:firstLine="0" w:firstLineChars="0"/>
              <w:jc w:val="center"/>
            </w:pPr>
            <w:r>
              <w:rPr>
                <w:rFonts w:hint="eastAsia"/>
              </w:rPr>
              <w:t>动态数据</w:t>
            </w:r>
          </w:p>
        </w:tc>
      </w:tr>
      <w:tr w14:paraId="3B8EC7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00" w:type="pct"/>
            <w:vAlign w:val="center"/>
          </w:tcPr>
          <w:p w14:paraId="1C1EDAD6">
            <w:pPr>
              <w:pStyle w:val="60"/>
              <w:ind w:firstLine="0" w:firstLineChars="0"/>
              <w:jc w:val="center"/>
            </w:pPr>
            <w:r>
              <w:rPr>
                <w:rFonts w:hint="eastAsia"/>
              </w:rPr>
              <w:t>3</w:t>
            </w:r>
          </w:p>
        </w:tc>
        <w:tc>
          <w:tcPr>
            <w:tcW w:w="694" w:type="pct"/>
            <w:vAlign w:val="center"/>
          </w:tcPr>
          <w:p w14:paraId="66BE17BC">
            <w:pPr>
              <w:pStyle w:val="60"/>
              <w:ind w:firstLine="0" w:firstLineChars="0"/>
              <w:jc w:val="center"/>
            </w:pPr>
            <w:r>
              <w:rPr>
                <w:rFonts w:hint="eastAsia"/>
              </w:rPr>
              <w:t>火线信息</w:t>
            </w:r>
          </w:p>
        </w:tc>
        <w:tc>
          <w:tcPr>
            <w:tcW w:w="3193" w:type="pct"/>
            <w:vAlign w:val="center"/>
          </w:tcPr>
          <w:p w14:paraId="25A178E4">
            <w:pPr>
              <w:pStyle w:val="60"/>
              <w:ind w:firstLine="0" w:firstLineChars="0"/>
            </w:pPr>
            <w:r>
              <w:rPr>
                <w:rFonts w:hint="eastAsia"/>
              </w:rPr>
              <w:t>持续时间、火强度、火焰高度、火线长度等。</w:t>
            </w:r>
          </w:p>
        </w:tc>
        <w:tc>
          <w:tcPr>
            <w:tcW w:w="712" w:type="pct"/>
            <w:vAlign w:val="center"/>
          </w:tcPr>
          <w:p w14:paraId="3EA78464">
            <w:pPr>
              <w:pStyle w:val="60"/>
              <w:ind w:firstLine="0" w:firstLineChars="0"/>
              <w:jc w:val="center"/>
            </w:pPr>
            <w:r>
              <w:rPr>
                <w:rFonts w:hint="eastAsia"/>
              </w:rPr>
              <w:t>动态数据</w:t>
            </w:r>
          </w:p>
        </w:tc>
      </w:tr>
      <w:tr w14:paraId="5C12F2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00" w:type="pct"/>
            <w:vAlign w:val="center"/>
          </w:tcPr>
          <w:p w14:paraId="6F8FC98F">
            <w:pPr>
              <w:pStyle w:val="60"/>
              <w:ind w:firstLine="0" w:firstLineChars="0"/>
              <w:jc w:val="center"/>
            </w:pPr>
            <w:r>
              <w:rPr>
                <w:rFonts w:hint="eastAsia"/>
              </w:rPr>
              <w:t>4</w:t>
            </w:r>
          </w:p>
        </w:tc>
        <w:tc>
          <w:tcPr>
            <w:tcW w:w="694" w:type="pct"/>
            <w:vAlign w:val="center"/>
          </w:tcPr>
          <w:p w14:paraId="7A34613E">
            <w:pPr>
              <w:pStyle w:val="60"/>
              <w:ind w:firstLine="0" w:firstLineChars="0"/>
              <w:jc w:val="center"/>
            </w:pPr>
            <w:r>
              <w:rPr>
                <w:rFonts w:hint="eastAsia"/>
              </w:rPr>
              <w:t>能见度</w:t>
            </w:r>
          </w:p>
        </w:tc>
        <w:tc>
          <w:tcPr>
            <w:tcW w:w="3193" w:type="pct"/>
            <w:vAlign w:val="center"/>
          </w:tcPr>
          <w:p w14:paraId="46836FC0">
            <w:pPr>
              <w:pStyle w:val="60"/>
              <w:ind w:firstLine="0" w:firstLineChars="0"/>
            </w:pPr>
            <w:r>
              <w:rPr>
                <w:rFonts w:hint="eastAsia"/>
              </w:rPr>
              <w:t>烟、雾等。</w:t>
            </w:r>
          </w:p>
        </w:tc>
        <w:tc>
          <w:tcPr>
            <w:tcW w:w="712" w:type="pct"/>
            <w:vAlign w:val="center"/>
          </w:tcPr>
          <w:p w14:paraId="3B62E5B4">
            <w:pPr>
              <w:pStyle w:val="60"/>
              <w:ind w:firstLine="0" w:firstLineChars="0"/>
              <w:jc w:val="center"/>
            </w:pPr>
            <w:r>
              <w:rPr>
                <w:rFonts w:hint="eastAsia"/>
              </w:rPr>
              <w:t>动态数据</w:t>
            </w:r>
          </w:p>
        </w:tc>
      </w:tr>
      <w:tr w14:paraId="08194E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00" w:type="pct"/>
            <w:vAlign w:val="center"/>
          </w:tcPr>
          <w:p w14:paraId="5DF85B3D">
            <w:pPr>
              <w:pStyle w:val="60"/>
              <w:ind w:firstLine="0" w:firstLineChars="0"/>
              <w:jc w:val="center"/>
            </w:pPr>
            <w:r>
              <w:rPr>
                <w:rFonts w:hint="eastAsia"/>
              </w:rPr>
              <w:t>5</w:t>
            </w:r>
          </w:p>
        </w:tc>
        <w:tc>
          <w:tcPr>
            <w:tcW w:w="694" w:type="pct"/>
            <w:vAlign w:val="center"/>
          </w:tcPr>
          <w:p w14:paraId="1BD10DAD">
            <w:pPr>
              <w:pStyle w:val="60"/>
              <w:ind w:firstLine="0" w:firstLineChars="0"/>
              <w:jc w:val="center"/>
            </w:pPr>
            <w:r>
              <w:rPr>
                <w:rFonts w:hint="eastAsia"/>
              </w:rPr>
              <w:t>蔓延态势</w:t>
            </w:r>
          </w:p>
        </w:tc>
        <w:tc>
          <w:tcPr>
            <w:tcW w:w="3193" w:type="pct"/>
            <w:vAlign w:val="center"/>
          </w:tcPr>
          <w:p w14:paraId="3E066982">
            <w:pPr>
              <w:pStyle w:val="60"/>
              <w:ind w:firstLine="0" w:firstLineChars="0"/>
            </w:pPr>
            <w:r>
              <w:rPr>
                <w:rFonts w:hint="eastAsia"/>
              </w:rPr>
              <w:t>燃烧形式、燃烧程度、燃烧过程、空间梯度、蔓延速度等。</w:t>
            </w:r>
          </w:p>
        </w:tc>
        <w:tc>
          <w:tcPr>
            <w:tcW w:w="712" w:type="pct"/>
            <w:vAlign w:val="center"/>
          </w:tcPr>
          <w:p w14:paraId="170A7AE5">
            <w:pPr>
              <w:pStyle w:val="60"/>
              <w:ind w:firstLine="0" w:firstLineChars="0"/>
              <w:jc w:val="center"/>
            </w:pPr>
            <w:r>
              <w:rPr>
                <w:rFonts w:hint="eastAsia"/>
              </w:rPr>
              <w:t>动态数据</w:t>
            </w:r>
          </w:p>
        </w:tc>
      </w:tr>
      <w:tr w14:paraId="2FC005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00" w:type="pct"/>
            <w:vAlign w:val="center"/>
          </w:tcPr>
          <w:p w14:paraId="4DE27E05">
            <w:pPr>
              <w:pStyle w:val="60"/>
              <w:ind w:firstLine="0" w:firstLineChars="0"/>
              <w:jc w:val="center"/>
            </w:pPr>
            <w:r>
              <w:rPr>
                <w:rFonts w:hint="eastAsia"/>
              </w:rPr>
              <w:t>6</w:t>
            </w:r>
          </w:p>
        </w:tc>
        <w:tc>
          <w:tcPr>
            <w:tcW w:w="694" w:type="pct"/>
            <w:vAlign w:val="center"/>
          </w:tcPr>
          <w:p w14:paraId="0509582B">
            <w:pPr>
              <w:pStyle w:val="60"/>
              <w:ind w:firstLine="0" w:firstLineChars="0"/>
              <w:jc w:val="center"/>
            </w:pPr>
            <w:r>
              <w:rPr>
                <w:rFonts w:hint="eastAsia"/>
              </w:rPr>
              <w:t>火源</w:t>
            </w:r>
          </w:p>
        </w:tc>
        <w:tc>
          <w:tcPr>
            <w:tcW w:w="3193" w:type="pct"/>
            <w:vAlign w:val="center"/>
          </w:tcPr>
          <w:p w14:paraId="52880EA3">
            <w:pPr>
              <w:pStyle w:val="60"/>
              <w:ind w:firstLine="0" w:firstLineChars="0"/>
            </w:pPr>
            <w:r>
              <w:rPr>
                <w:rFonts w:hint="eastAsia"/>
              </w:rPr>
              <w:t>自然火源、人为火源。</w:t>
            </w:r>
          </w:p>
        </w:tc>
        <w:tc>
          <w:tcPr>
            <w:tcW w:w="712" w:type="pct"/>
            <w:vAlign w:val="center"/>
          </w:tcPr>
          <w:p w14:paraId="48A652B7">
            <w:pPr>
              <w:pStyle w:val="60"/>
              <w:ind w:firstLine="0" w:firstLineChars="0"/>
              <w:jc w:val="center"/>
            </w:pPr>
            <w:r>
              <w:rPr>
                <w:rFonts w:hint="eastAsia"/>
              </w:rPr>
              <w:t>静态数据</w:t>
            </w:r>
          </w:p>
        </w:tc>
      </w:tr>
      <w:tr w14:paraId="7350BD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00" w:type="pct"/>
            <w:vAlign w:val="center"/>
          </w:tcPr>
          <w:p w14:paraId="74A3DDF4">
            <w:pPr>
              <w:pStyle w:val="60"/>
              <w:ind w:firstLine="0" w:firstLineChars="0"/>
              <w:jc w:val="center"/>
            </w:pPr>
            <w:r>
              <w:rPr>
                <w:rFonts w:hint="eastAsia"/>
              </w:rPr>
              <w:t>7</w:t>
            </w:r>
          </w:p>
        </w:tc>
        <w:tc>
          <w:tcPr>
            <w:tcW w:w="694" w:type="pct"/>
            <w:vAlign w:val="center"/>
          </w:tcPr>
          <w:p w14:paraId="4D86C0E4">
            <w:pPr>
              <w:pStyle w:val="60"/>
              <w:ind w:firstLine="0" w:firstLineChars="0"/>
              <w:jc w:val="center"/>
            </w:pPr>
            <w:r>
              <w:rPr>
                <w:rFonts w:hint="eastAsia"/>
              </w:rPr>
              <w:t>特殊火行为</w:t>
            </w:r>
          </w:p>
        </w:tc>
        <w:tc>
          <w:tcPr>
            <w:tcW w:w="3193" w:type="pct"/>
            <w:vAlign w:val="center"/>
          </w:tcPr>
          <w:p w14:paraId="45A2D05B">
            <w:pPr>
              <w:pStyle w:val="60"/>
              <w:ind w:firstLine="0" w:firstLineChars="0"/>
            </w:pPr>
            <w:r>
              <w:rPr>
                <w:rFonts w:hint="eastAsia"/>
              </w:rPr>
              <w:t>热对流柱、火爆、飞火、高温热流、火旋风等。</w:t>
            </w:r>
          </w:p>
        </w:tc>
        <w:tc>
          <w:tcPr>
            <w:tcW w:w="712" w:type="pct"/>
            <w:vAlign w:val="center"/>
          </w:tcPr>
          <w:p w14:paraId="1220119F">
            <w:pPr>
              <w:pStyle w:val="60"/>
              <w:ind w:firstLine="0" w:firstLineChars="0"/>
              <w:jc w:val="center"/>
            </w:pPr>
            <w:r>
              <w:rPr>
                <w:rFonts w:hint="eastAsia"/>
              </w:rPr>
              <w:t>动态数据</w:t>
            </w:r>
          </w:p>
        </w:tc>
      </w:tr>
    </w:tbl>
    <w:p w14:paraId="7B728A91">
      <w:pPr>
        <w:pStyle w:val="69"/>
        <w:spacing w:before="120" w:after="120"/>
      </w:pPr>
      <w:bookmarkStart w:id="136" w:name="_Toc210118567"/>
      <w:r>
        <w:rPr>
          <w:rFonts w:hint="eastAsia"/>
        </w:rPr>
        <w:t>灭火力量</w:t>
      </w:r>
      <w:bookmarkEnd w:id="136"/>
    </w:p>
    <w:p w14:paraId="743AE8DD">
      <w:pPr>
        <w:pStyle w:val="60"/>
        <w:ind w:firstLine="420" w:firstLineChars="0"/>
        <w:jc w:val="left"/>
      </w:pPr>
      <w:r>
        <w:rPr>
          <w:rFonts w:hint="eastAsia"/>
        </w:rPr>
        <w:t>森林草原火灾扑救地空协同灭火力量相关数据包括组织体系、灭火力量、指挥调度等信息，具体内容见表3。</w:t>
      </w:r>
    </w:p>
    <w:p w14:paraId="130460CC">
      <w:pPr>
        <w:pStyle w:val="60"/>
        <w:ind w:firstLine="0" w:firstLineChars="0"/>
        <w:jc w:val="center"/>
      </w:pPr>
      <w:r>
        <w:rPr>
          <w:rFonts w:hint="eastAsia"/>
        </w:rPr>
        <w:t>表3 森林草原火灾扑救地空协同灭火力量相关数据</w:t>
      </w:r>
    </w:p>
    <w:tbl>
      <w:tblPr>
        <w:tblStyle w:val="29"/>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4"/>
        <w:gridCol w:w="1329"/>
        <w:gridCol w:w="6114"/>
        <w:gridCol w:w="1363"/>
      </w:tblGrid>
      <w:tr w14:paraId="21ED9D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9" w:type="pct"/>
            <w:vAlign w:val="center"/>
          </w:tcPr>
          <w:p w14:paraId="2A0224FD">
            <w:pPr>
              <w:pStyle w:val="60"/>
              <w:ind w:firstLine="0" w:firstLineChars="0"/>
              <w:jc w:val="center"/>
            </w:pPr>
            <w:r>
              <w:rPr>
                <w:rFonts w:hint="eastAsia"/>
              </w:rPr>
              <w:t>序号</w:t>
            </w:r>
          </w:p>
        </w:tc>
        <w:tc>
          <w:tcPr>
            <w:tcW w:w="694" w:type="pct"/>
            <w:vAlign w:val="center"/>
          </w:tcPr>
          <w:p w14:paraId="2F51BE33">
            <w:pPr>
              <w:pStyle w:val="60"/>
              <w:ind w:firstLine="0" w:firstLineChars="0"/>
              <w:jc w:val="center"/>
            </w:pPr>
            <w:r>
              <w:rPr>
                <w:rFonts w:hint="eastAsia"/>
              </w:rPr>
              <w:t>数据类别</w:t>
            </w:r>
          </w:p>
        </w:tc>
        <w:tc>
          <w:tcPr>
            <w:tcW w:w="3193" w:type="pct"/>
            <w:vAlign w:val="center"/>
          </w:tcPr>
          <w:p w14:paraId="6DFA7E85">
            <w:pPr>
              <w:pStyle w:val="60"/>
              <w:ind w:firstLine="0" w:firstLineChars="0"/>
              <w:jc w:val="center"/>
            </w:pPr>
            <w:r>
              <w:rPr>
                <w:rFonts w:hint="eastAsia"/>
              </w:rPr>
              <w:t>数据项</w:t>
            </w:r>
          </w:p>
        </w:tc>
        <w:tc>
          <w:tcPr>
            <w:tcW w:w="712" w:type="pct"/>
            <w:vAlign w:val="center"/>
          </w:tcPr>
          <w:p w14:paraId="3DD4A5E8">
            <w:pPr>
              <w:pStyle w:val="60"/>
              <w:ind w:firstLine="0" w:firstLineChars="0"/>
              <w:jc w:val="center"/>
            </w:pPr>
            <w:r>
              <w:rPr>
                <w:rFonts w:hint="eastAsia"/>
              </w:rPr>
              <w:t>数据属性</w:t>
            </w:r>
          </w:p>
        </w:tc>
      </w:tr>
      <w:tr w14:paraId="0C8F5B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9" w:type="pct"/>
            <w:vMerge w:val="restart"/>
            <w:vAlign w:val="center"/>
          </w:tcPr>
          <w:p w14:paraId="33B4D19F">
            <w:pPr>
              <w:pStyle w:val="60"/>
              <w:ind w:firstLine="0" w:firstLineChars="0"/>
              <w:jc w:val="center"/>
            </w:pPr>
            <w:r>
              <w:rPr>
                <w:rFonts w:hint="eastAsia"/>
              </w:rPr>
              <w:t>1</w:t>
            </w:r>
          </w:p>
        </w:tc>
        <w:tc>
          <w:tcPr>
            <w:tcW w:w="694" w:type="pct"/>
            <w:vMerge w:val="restart"/>
            <w:vAlign w:val="center"/>
          </w:tcPr>
          <w:p w14:paraId="3ADA92A9">
            <w:pPr>
              <w:pStyle w:val="60"/>
              <w:ind w:firstLine="0" w:firstLineChars="0"/>
              <w:jc w:val="center"/>
            </w:pPr>
            <w:r>
              <w:rPr>
                <w:rFonts w:hint="eastAsia"/>
              </w:rPr>
              <w:t>组织体系</w:t>
            </w:r>
          </w:p>
        </w:tc>
        <w:tc>
          <w:tcPr>
            <w:tcW w:w="3193" w:type="pct"/>
            <w:vAlign w:val="center"/>
          </w:tcPr>
          <w:p w14:paraId="6E392553">
            <w:pPr>
              <w:pStyle w:val="60"/>
              <w:ind w:firstLine="0" w:firstLineChars="0"/>
            </w:pPr>
            <w:r>
              <w:rPr>
                <w:rFonts w:hint="eastAsia"/>
              </w:rPr>
              <w:t>各级政府、国家森林草原防灭火指挥部、地方各级森林（草原）防（灭）火指挥机构等。</w:t>
            </w:r>
          </w:p>
        </w:tc>
        <w:tc>
          <w:tcPr>
            <w:tcW w:w="712" w:type="pct"/>
            <w:vAlign w:val="center"/>
          </w:tcPr>
          <w:p w14:paraId="2159C961">
            <w:pPr>
              <w:pStyle w:val="60"/>
              <w:ind w:firstLine="0" w:firstLineChars="0"/>
              <w:jc w:val="center"/>
            </w:pPr>
            <w:r>
              <w:rPr>
                <w:rFonts w:hint="eastAsia"/>
              </w:rPr>
              <w:t>静态数据</w:t>
            </w:r>
          </w:p>
        </w:tc>
      </w:tr>
      <w:tr w14:paraId="69B775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9" w:type="pct"/>
            <w:vAlign w:val="center"/>
          </w:tcPr>
          <w:p w14:paraId="72AA2F2E">
            <w:pPr>
              <w:pStyle w:val="60"/>
              <w:ind w:firstLine="0" w:firstLineChars="0"/>
              <w:jc w:val="center"/>
            </w:pPr>
            <w:r>
              <w:rPr>
                <w:rFonts w:hint="eastAsia"/>
              </w:rPr>
              <w:t>2</w:t>
            </w:r>
          </w:p>
        </w:tc>
        <w:tc>
          <w:tcPr>
            <w:tcW w:w="694" w:type="pct"/>
            <w:vAlign w:val="center"/>
          </w:tcPr>
          <w:p w14:paraId="05E0E363">
            <w:pPr>
              <w:pStyle w:val="60"/>
              <w:ind w:firstLine="0" w:firstLineChars="0"/>
              <w:jc w:val="center"/>
            </w:pPr>
            <w:r>
              <w:rPr>
                <w:rFonts w:hint="eastAsia"/>
              </w:rPr>
              <w:t>灭火力量</w:t>
            </w:r>
          </w:p>
        </w:tc>
        <w:tc>
          <w:tcPr>
            <w:tcW w:w="3193" w:type="pct"/>
            <w:vAlign w:val="center"/>
          </w:tcPr>
          <w:p w14:paraId="1F800131">
            <w:pPr>
              <w:pStyle w:val="60"/>
              <w:ind w:firstLine="0" w:firstLineChars="0"/>
            </w:pPr>
            <w:r>
              <w:rPr>
                <w:rFonts w:hint="eastAsia"/>
              </w:rPr>
              <w:t>地方专业防扑火队伍、应急航空救援队伍、国家综合性消防救援队伍、解放军和武警部队等。</w:t>
            </w:r>
          </w:p>
        </w:tc>
        <w:tc>
          <w:tcPr>
            <w:tcW w:w="712" w:type="pct"/>
            <w:vAlign w:val="center"/>
          </w:tcPr>
          <w:p w14:paraId="0CBA7F6F">
            <w:pPr>
              <w:pStyle w:val="60"/>
              <w:ind w:firstLine="0" w:firstLineChars="0"/>
              <w:jc w:val="center"/>
            </w:pPr>
            <w:r>
              <w:rPr>
                <w:rFonts w:hint="eastAsia"/>
              </w:rPr>
              <w:t>静态数据</w:t>
            </w:r>
          </w:p>
        </w:tc>
      </w:tr>
      <w:tr w14:paraId="2FAFD6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9" w:type="pct"/>
            <w:vAlign w:val="center"/>
          </w:tcPr>
          <w:p w14:paraId="3E23A7D6">
            <w:pPr>
              <w:pStyle w:val="60"/>
              <w:ind w:firstLine="0" w:firstLineChars="0"/>
              <w:jc w:val="center"/>
            </w:pPr>
            <w:r>
              <w:rPr>
                <w:rFonts w:hint="eastAsia"/>
              </w:rPr>
              <w:t>3</w:t>
            </w:r>
          </w:p>
        </w:tc>
        <w:tc>
          <w:tcPr>
            <w:tcW w:w="694" w:type="pct"/>
            <w:vAlign w:val="center"/>
          </w:tcPr>
          <w:p w14:paraId="78EA8BA3">
            <w:pPr>
              <w:pStyle w:val="60"/>
              <w:ind w:firstLine="0" w:firstLineChars="0"/>
              <w:jc w:val="center"/>
            </w:pPr>
            <w:r>
              <w:rPr>
                <w:rFonts w:hint="eastAsia"/>
              </w:rPr>
              <w:t>指挥调度</w:t>
            </w:r>
          </w:p>
        </w:tc>
        <w:tc>
          <w:tcPr>
            <w:tcW w:w="3193" w:type="pct"/>
            <w:vAlign w:val="center"/>
          </w:tcPr>
          <w:p w14:paraId="58FBF6AE">
            <w:pPr>
              <w:pStyle w:val="60"/>
              <w:ind w:firstLine="0" w:firstLineChars="0"/>
            </w:pPr>
            <w:r>
              <w:rPr>
                <w:rFonts w:hint="eastAsia"/>
              </w:rPr>
              <w:t>早期处置、态势研判、力量调度、任务部署、组织扑救、清理看守、应急救援、综合保障、信息发布、验收交接等。</w:t>
            </w:r>
          </w:p>
        </w:tc>
        <w:tc>
          <w:tcPr>
            <w:tcW w:w="712" w:type="pct"/>
            <w:vAlign w:val="center"/>
          </w:tcPr>
          <w:p w14:paraId="553364D3">
            <w:pPr>
              <w:pStyle w:val="60"/>
              <w:ind w:firstLine="0" w:firstLineChars="0"/>
              <w:jc w:val="center"/>
            </w:pPr>
            <w:r>
              <w:rPr>
                <w:rFonts w:hint="eastAsia"/>
              </w:rPr>
              <w:t>静态数据</w:t>
            </w:r>
          </w:p>
        </w:tc>
      </w:tr>
      <w:tr w14:paraId="687601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9" w:type="pct"/>
            <w:vAlign w:val="center"/>
          </w:tcPr>
          <w:p w14:paraId="07D45D79">
            <w:pPr>
              <w:pStyle w:val="60"/>
              <w:ind w:firstLine="0" w:firstLineChars="0"/>
              <w:jc w:val="center"/>
            </w:pPr>
            <w:r>
              <w:rPr>
                <w:rFonts w:hint="eastAsia"/>
              </w:rPr>
              <w:t>4</w:t>
            </w:r>
          </w:p>
        </w:tc>
        <w:tc>
          <w:tcPr>
            <w:tcW w:w="694" w:type="pct"/>
            <w:vAlign w:val="center"/>
          </w:tcPr>
          <w:p w14:paraId="7912A09A">
            <w:pPr>
              <w:pStyle w:val="60"/>
              <w:ind w:firstLine="0" w:firstLineChars="0"/>
              <w:jc w:val="center"/>
            </w:pPr>
            <w:r>
              <w:rPr>
                <w:rFonts w:hint="eastAsia"/>
              </w:rPr>
              <w:t>应急通信</w:t>
            </w:r>
          </w:p>
        </w:tc>
        <w:tc>
          <w:tcPr>
            <w:tcW w:w="3193" w:type="pct"/>
            <w:vAlign w:val="center"/>
          </w:tcPr>
          <w:p w14:paraId="5AA8363F">
            <w:pPr>
              <w:pStyle w:val="60"/>
              <w:ind w:firstLine="0" w:firstLineChars="0"/>
            </w:pPr>
            <w:r>
              <w:rPr>
                <w:rFonts w:hint="eastAsia"/>
              </w:rPr>
              <w:t>MESH自组网、卫星通信、指挥信息网、多模终端、无人机通信、应急通信车、公网通信、融合通信等。</w:t>
            </w:r>
          </w:p>
        </w:tc>
        <w:tc>
          <w:tcPr>
            <w:tcW w:w="712" w:type="pct"/>
            <w:vAlign w:val="center"/>
          </w:tcPr>
          <w:p w14:paraId="0235E3EF">
            <w:pPr>
              <w:pStyle w:val="60"/>
              <w:ind w:firstLine="0" w:firstLineChars="0"/>
              <w:jc w:val="center"/>
            </w:pPr>
            <w:r>
              <w:rPr>
                <w:rFonts w:hint="eastAsia"/>
              </w:rPr>
              <w:t>静态数据</w:t>
            </w:r>
          </w:p>
        </w:tc>
      </w:tr>
      <w:tr w14:paraId="002406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9" w:type="pct"/>
            <w:vAlign w:val="center"/>
          </w:tcPr>
          <w:p w14:paraId="12251FEA">
            <w:pPr>
              <w:pStyle w:val="60"/>
              <w:ind w:firstLine="0" w:firstLineChars="0"/>
              <w:jc w:val="center"/>
            </w:pPr>
            <w:r>
              <w:rPr>
                <w:rFonts w:hint="eastAsia"/>
              </w:rPr>
              <w:t>5</w:t>
            </w:r>
          </w:p>
        </w:tc>
        <w:tc>
          <w:tcPr>
            <w:tcW w:w="694" w:type="pct"/>
            <w:vAlign w:val="center"/>
          </w:tcPr>
          <w:p w14:paraId="35462143">
            <w:pPr>
              <w:pStyle w:val="60"/>
              <w:ind w:firstLine="0" w:firstLineChars="0"/>
              <w:jc w:val="center"/>
            </w:pPr>
            <w:r>
              <w:rPr>
                <w:rFonts w:hint="eastAsia"/>
              </w:rPr>
              <w:t>信息报告</w:t>
            </w:r>
          </w:p>
        </w:tc>
        <w:tc>
          <w:tcPr>
            <w:tcW w:w="3193" w:type="pct"/>
            <w:vAlign w:val="center"/>
          </w:tcPr>
          <w:p w14:paraId="5E76C53B">
            <w:pPr>
              <w:pStyle w:val="60"/>
              <w:ind w:firstLine="0" w:firstLineChars="0"/>
            </w:pPr>
            <w:r>
              <w:rPr>
                <w:rFonts w:hint="eastAsia"/>
              </w:rPr>
              <w:t>火灾基本情况、火灾发展情况、人员伤亡和财产损失情况、扑救情况、气象条件、地形地貌、火场周边情况、应急响应情况等。</w:t>
            </w:r>
          </w:p>
        </w:tc>
        <w:tc>
          <w:tcPr>
            <w:tcW w:w="712" w:type="pct"/>
            <w:vAlign w:val="center"/>
          </w:tcPr>
          <w:p w14:paraId="0D7943A0">
            <w:pPr>
              <w:pStyle w:val="60"/>
              <w:ind w:firstLine="0" w:firstLineChars="0"/>
              <w:jc w:val="center"/>
            </w:pPr>
            <w:r>
              <w:rPr>
                <w:rFonts w:hint="eastAsia"/>
              </w:rPr>
              <w:t>动态数据</w:t>
            </w:r>
          </w:p>
        </w:tc>
      </w:tr>
      <w:tr w14:paraId="023509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9" w:type="pct"/>
            <w:vAlign w:val="center"/>
          </w:tcPr>
          <w:p w14:paraId="0124B5DF">
            <w:pPr>
              <w:pStyle w:val="60"/>
              <w:ind w:firstLine="0" w:firstLineChars="0"/>
              <w:jc w:val="center"/>
            </w:pPr>
            <w:r>
              <w:rPr>
                <w:rFonts w:hint="eastAsia"/>
              </w:rPr>
              <w:t>6</w:t>
            </w:r>
          </w:p>
        </w:tc>
        <w:tc>
          <w:tcPr>
            <w:tcW w:w="694" w:type="pct"/>
            <w:vAlign w:val="center"/>
          </w:tcPr>
          <w:p w14:paraId="7861DA9E">
            <w:pPr>
              <w:pStyle w:val="60"/>
              <w:ind w:firstLine="0" w:firstLineChars="0"/>
              <w:jc w:val="center"/>
            </w:pPr>
            <w:r>
              <w:rPr>
                <w:rFonts w:hint="eastAsia"/>
              </w:rPr>
              <w:t>灭火措施</w:t>
            </w:r>
          </w:p>
        </w:tc>
        <w:tc>
          <w:tcPr>
            <w:tcW w:w="3193" w:type="pct"/>
            <w:vAlign w:val="center"/>
          </w:tcPr>
          <w:p w14:paraId="5D0CC6DC">
            <w:pPr>
              <w:pStyle w:val="60"/>
              <w:ind w:firstLine="0" w:firstLineChars="0"/>
            </w:pPr>
            <w:r>
              <w:rPr>
                <w:rFonts w:hint="eastAsia"/>
              </w:rPr>
              <w:t>以水灭火、直接扑打、开设隔离带、使用灭火剂、以火攻火、地空配合、点烧作业、人工增雨、航空灭火等。</w:t>
            </w:r>
          </w:p>
        </w:tc>
        <w:tc>
          <w:tcPr>
            <w:tcW w:w="712" w:type="pct"/>
            <w:vAlign w:val="center"/>
          </w:tcPr>
          <w:p w14:paraId="4E35D4E4">
            <w:pPr>
              <w:pStyle w:val="60"/>
              <w:ind w:firstLine="0" w:firstLineChars="0"/>
              <w:jc w:val="center"/>
            </w:pPr>
            <w:r>
              <w:rPr>
                <w:rFonts w:hint="eastAsia"/>
              </w:rPr>
              <w:t>静态数据</w:t>
            </w:r>
          </w:p>
        </w:tc>
      </w:tr>
      <w:tr w14:paraId="527CDA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9" w:type="pct"/>
            <w:vAlign w:val="center"/>
          </w:tcPr>
          <w:p w14:paraId="47A8B925">
            <w:pPr>
              <w:pStyle w:val="60"/>
              <w:ind w:firstLine="0" w:firstLineChars="0"/>
              <w:jc w:val="center"/>
            </w:pPr>
            <w:r>
              <w:rPr>
                <w:rFonts w:hint="eastAsia"/>
              </w:rPr>
              <w:t>7</w:t>
            </w:r>
          </w:p>
        </w:tc>
        <w:tc>
          <w:tcPr>
            <w:tcW w:w="694" w:type="pct"/>
            <w:vAlign w:val="center"/>
          </w:tcPr>
          <w:p w14:paraId="2ED3AB98">
            <w:pPr>
              <w:pStyle w:val="60"/>
              <w:ind w:firstLine="0" w:firstLineChars="0"/>
              <w:jc w:val="center"/>
            </w:pPr>
            <w:r>
              <w:rPr>
                <w:rFonts w:hint="eastAsia"/>
              </w:rPr>
              <w:t>装备器具</w:t>
            </w:r>
          </w:p>
        </w:tc>
        <w:tc>
          <w:tcPr>
            <w:tcW w:w="3193" w:type="pct"/>
            <w:vAlign w:val="center"/>
          </w:tcPr>
          <w:p w14:paraId="096AA6F6">
            <w:pPr>
              <w:pStyle w:val="60"/>
              <w:ind w:firstLine="0" w:firstLineChars="0"/>
            </w:pPr>
            <w:r>
              <w:rPr>
                <w:rFonts w:hint="eastAsia"/>
              </w:rPr>
              <w:t>风力灭火机、高压脉冲灭火水枪、无人机、灭火炮、灭火弹、航空灭火装备、防护装备、通信装备、消防水车等。</w:t>
            </w:r>
          </w:p>
        </w:tc>
        <w:tc>
          <w:tcPr>
            <w:tcW w:w="712" w:type="pct"/>
            <w:vAlign w:val="center"/>
          </w:tcPr>
          <w:p w14:paraId="5B93DC72">
            <w:pPr>
              <w:pStyle w:val="60"/>
              <w:ind w:firstLine="0" w:firstLineChars="0"/>
              <w:jc w:val="center"/>
            </w:pPr>
            <w:r>
              <w:rPr>
                <w:rFonts w:hint="eastAsia"/>
              </w:rPr>
              <w:t>动态数据</w:t>
            </w:r>
          </w:p>
        </w:tc>
      </w:tr>
      <w:tr w14:paraId="45F346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0" w:hRule="atLeast"/>
        </w:trPr>
        <w:tc>
          <w:tcPr>
            <w:tcW w:w="399" w:type="pct"/>
            <w:vAlign w:val="center"/>
          </w:tcPr>
          <w:p w14:paraId="1ACEBFF8">
            <w:pPr>
              <w:pStyle w:val="60"/>
              <w:ind w:firstLine="0" w:firstLineChars="0"/>
              <w:jc w:val="center"/>
            </w:pPr>
            <w:r>
              <w:rPr>
                <w:rFonts w:hint="eastAsia"/>
              </w:rPr>
              <w:t>8</w:t>
            </w:r>
          </w:p>
        </w:tc>
        <w:tc>
          <w:tcPr>
            <w:tcW w:w="694" w:type="pct"/>
            <w:vAlign w:val="center"/>
          </w:tcPr>
          <w:p w14:paraId="08A74F56">
            <w:pPr>
              <w:pStyle w:val="60"/>
              <w:ind w:firstLine="0" w:firstLineChars="0"/>
              <w:jc w:val="center"/>
            </w:pPr>
            <w:r>
              <w:rPr>
                <w:rFonts w:hint="eastAsia"/>
              </w:rPr>
              <w:t>人员数据</w:t>
            </w:r>
          </w:p>
        </w:tc>
        <w:tc>
          <w:tcPr>
            <w:tcW w:w="3193" w:type="pct"/>
            <w:vAlign w:val="center"/>
          </w:tcPr>
          <w:p w14:paraId="159B393D">
            <w:pPr>
              <w:pStyle w:val="60"/>
              <w:ind w:firstLine="0" w:firstLineChars="0"/>
            </w:pPr>
            <w:r>
              <w:rPr>
                <w:rFonts w:hint="eastAsia"/>
              </w:rPr>
              <w:t>扑火人员位置、数量、身体状况。</w:t>
            </w:r>
          </w:p>
        </w:tc>
        <w:tc>
          <w:tcPr>
            <w:tcW w:w="712" w:type="pct"/>
            <w:vAlign w:val="center"/>
          </w:tcPr>
          <w:p w14:paraId="7EEF85F7">
            <w:pPr>
              <w:pStyle w:val="60"/>
              <w:ind w:firstLine="0" w:firstLineChars="0"/>
              <w:jc w:val="center"/>
            </w:pPr>
            <w:r>
              <w:rPr>
                <w:rFonts w:hint="eastAsia"/>
              </w:rPr>
              <w:t>动态数据</w:t>
            </w:r>
          </w:p>
        </w:tc>
      </w:tr>
      <w:tr w14:paraId="64953D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9" w:type="pct"/>
            <w:vAlign w:val="center"/>
          </w:tcPr>
          <w:p w14:paraId="20E07FAA">
            <w:pPr>
              <w:pStyle w:val="60"/>
              <w:ind w:firstLine="0" w:firstLineChars="0"/>
              <w:jc w:val="center"/>
            </w:pPr>
            <w:r>
              <w:rPr>
                <w:rFonts w:hint="eastAsia"/>
              </w:rPr>
              <w:t>9</w:t>
            </w:r>
          </w:p>
        </w:tc>
        <w:tc>
          <w:tcPr>
            <w:tcW w:w="694" w:type="pct"/>
            <w:vAlign w:val="center"/>
          </w:tcPr>
          <w:p w14:paraId="5F8E509B">
            <w:pPr>
              <w:pStyle w:val="60"/>
              <w:ind w:firstLine="0" w:firstLineChars="0"/>
              <w:jc w:val="center"/>
            </w:pPr>
            <w:r>
              <w:rPr>
                <w:rFonts w:hint="eastAsia"/>
              </w:rPr>
              <w:t>物资数据</w:t>
            </w:r>
          </w:p>
        </w:tc>
        <w:tc>
          <w:tcPr>
            <w:tcW w:w="3193" w:type="pct"/>
            <w:vAlign w:val="center"/>
          </w:tcPr>
          <w:p w14:paraId="71B73ED2">
            <w:pPr>
              <w:pStyle w:val="60"/>
              <w:ind w:firstLine="0" w:firstLineChars="0"/>
            </w:pPr>
            <w:r>
              <w:rPr>
                <w:rFonts w:hint="eastAsia"/>
              </w:rPr>
              <w:t>扑火物资种类、数量、位置、运输状态。</w:t>
            </w:r>
          </w:p>
        </w:tc>
        <w:tc>
          <w:tcPr>
            <w:tcW w:w="712" w:type="pct"/>
            <w:vAlign w:val="center"/>
          </w:tcPr>
          <w:p w14:paraId="1DF1E970">
            <w:pPr>
              <w:pStyle w:val="60"/>
              <w:ind w:firstLine="0" w:firstLineChars="0"/>
              <w:jc w:val="center"/>
            </w:pPr>
            <w:r>
              <w:rPr>
                <w:rFonts w:hint="eastAsia"/>
              </w:rPr>
              <w:t>动态数据</w:t>
            </w:r>
          </w:p>
        </w:tc>
      </w:tr>
    </w:tbl>
    <w:p w14:paraId="4C75E845">
      <w:pPr>
        <w:pStyle w:val="109"/>
        <w:spacing w:before="120" w:after="120"/>
      </w:pPr>
      <w:bookmarkStart w:id="137" w:name="_Toc17693"/>
      <w:bookmarkStart w:id="138" w:name="_Toc25954"/>
      <w:bookmarkStart w:id="139" w:name="_Toc213945302"/>
      <w:bookmarkStart w:id="140" w:name="_Toc210118568"/>
      <w:bookmarkStart w:id="141" w:name="_Toc29923"/>
      <w:bookmarkStart w:id="142" w:name="_Toc23758"/>
      <w:bookmarkStart w:id="143" w:name="_Toc16917"/>
      <w:bookmarkStart w:id="144" w:name="_Toc28007"/>
      <w:r>
        <w:rPr>
          <w:rFonts w:hint="eastAsia"/>
        </w:rPr>
        <w:t>数据共享</w:t>
      </w:r>
      <w:bookmarkEnd w:id="137"/>
      <w:bookmarkEnd w:id="138"/>
      <w:bookmarkEnd w:id="139"/>
      <w:bookmarkEnd w:id="140"/>
      <w:r>
        <w:rPr>
          <w:rFonts w:hint="eastAsia"/>
        </w:rPr>
        <w:t>要求</w:t>
      </w:r>
      <w:bookmarkEnd w:id="141"/>
      <w:bookmarkEnd w:id="142"/>
      <w:bookmarkEnd w:id="143"/>
      <w:bookmarkEnd w:id="144"/>
    </w:p>
    <w:p w14:paraId="625C6EDD">
      <w:pPr>
        <w:pStyle w:val="69"/>
        <w:spacing w:before="120" w:after="120"/>
      </w:pPr>
      <w:bookmarkStart w:id="145" w:name="_Toc210118570"/>
      <w:r>
        <w:rPr>
          <w:rFonts w:hint="eastAsia"/>
        </w:rPr>
        <w:t>数据共享平台</w:t>
      </w:r>
    </w:p>
    <w:p w14:paraId="0F15FF49">
      <w:pPr>
        <w:pStyle w:val="60"/>
        <w:ind w:firstLine="420"/>
      </w:pPr>
      <w:r>
        <w:rPr>
          <w:rFonts w:hint="eastAsia"/>
        </w:rPr>
        <w:t>数据共享宜依托统一的数据共享平台实施，平台应具备以下能力：</w:t>
      </w:r>
    </w:p>
    <w:p w14:paraId="59EF55AE">
      <w:pPr>
        <w:pStyle w:val="60"/>
        <w:ind w:firstLine="420"/>
      </w:pPr>
      <w:r>
        <w:rPr>
          <w:rFonts w:hint="eastAsia"/>
        </w:rPr>
        <w:t>1）对多源、异构火场数据的集中汇聚与统一管理能力；</w:t>
      </w:r>
    </w:p>
    <w:p w14:paraId="4DB6DCF6">
      <w:pPr>
        <w:pStyle w:val="60"/>
        <w:ind w:firstLine="420"/>
      </w:pPr>
      <w:r>
        <w:rPr>
          <w:rFonts w:hint="eastAsia"/>
        </w:rPr>
        <w:t>2）通过标准化数据服务接口，支持其他业务系统采用通用协议（如HTTP/RESTful、Web Service等）进行调用，支撑异构系统间的数据互联互通；</w:t>
      </w:r>
    </w:p>
    <w:p w14:paraId="7B47A0A8">
      <w:pPr>
        <w:pStyle w:val="60"/>
        <w:ind w:firstLine="420"/>
      </w:pPr>
      <w:r>
        <w:rPr>
          <w:rFonts w:hint="eastAsia"/>
        </w:rPr>
        <w:t>3）对数据的清洗、校验与分发服务能力。</w:t>
      </w:r>
    </w:p>
    <w:p w14:paraId="05EB3E54">
      <w:pPr>
        <w:pStyle w:val="69"/>
        <w:spacing w:before="120" w:after="120"/>
      </w:pPr>
      <w:r>
        <w:rPr>
          <w:rFonts w:hint="eastAsia"/>
        </w:rPr>
        <w:t>数据传输</w:t>
      </w:r>
      <w:bookmarkEnd w:id="145"/>
    </w:p>
    <w:p w14:paraId="2CC2C235">
      <w:pPr>
        <w:pStyle w:val="60"/>
        <w:ind w:firstLine="420"/>
      </w:pPr>
      <w:r>
        <w:rPr>
          <w:rFonts w:hint="eastAsia"/>
        </w:rPr>
        <w:t>1）传输链路</w:t>
      </w:r>
    </w:p>
    <w:p w14:paraId="46A12CBE">
      <w:pPr>
        <w:pStyle w:val="60"/>
        <w:ind w:firstLine="420"/>
      </w:pPr>
      <w:r>
        <w:rPr>
          <w:rFonts w:hint="eastAsia"/>
        </w:rPr>
        <w:t>应依托有线网络、无线通信网络建立稳定可靠的数据传输链路；无线通信网络可采用卫星通信、MESH自组网、公网通信等方式，并根据火场实际通信条件合理选用或组合使用。</w:t>
      </w:r>
    </w:p>
    <w:p w14:paraId="303E456C">
      <w:pPr>
        <w:pStyle w:val="60"/>
        <w:ind w:firstLine="420"/>
      </w:pPr>
      <w:r>
        <w:rPr>
          <w:rFonts w:hint="eastAsia"/>
        </w:rPr>
        <w:t>2）传输协议</w:t>
      </w:r>
    </w:p>
    <w:p w14:paraId="5FFA1640">
      <w:pPr>
        <w:pStyle w:val="60"/>
        <w:ind w:firstLine="420"/>
      </w:pPr>
      <w:r>
        <w:rPr>
          <w:rFonts w:hint="eastAsia"/>
        </w:rPr>
        <w:t>温湿度、定位、风力等实时感知类数据，宜采用MQTT、CoAP等轻量级物联网传输协议；视频、遥感影像等大流量数据，宜采用HTTPS、SFTP等加密传输协议。</w:t>
      </w:r>
    </w:p>
    <w:p w14:paraId="1834832C">
      <w:pPr>
        <w:pStyle w:val="69"/>
        <w:spacing w:before="120" w:after="120"/>
      </w:pPr>
      <w:bookmarkStart w:id="146" w:name="_Toc210118573"/>
      <w:r>
        <w:rPr>
          <w:rFonts w:hint="eastAsia"/>
        </w:rPr>
        <w:t>共享</w:t>
      </w:r>
      <w:bookmarkEnd w:id="146"/>
      <w:r>
        <w:rPr>
          <w:rFonts w:hint="eastAsia"/>
        </w:rPr>
        <w:t>方式</w:t>
      </w:r>
    </w:p>
    <w:p w14:paraId="3198F45F">
      <w:pPr>
        <w:pStyle w:val="60"/>
        <w:ind w:firstLine="420"/>
      </w:pPr>
      <w:r>
        <w:rPr>
          <w:rFonts w:hint="eastAsia"/>
        </w:rPr>
        <w:t>数据共享平台应支持以下交互模式：</w:t>
      </w:r>
    </w:p>
    <w:p w14:paraId="53E39BA1">
      <w:pPr>
        <w:pStyle w:val="60"/>
        <w:ind w:firstLine="420"/>
      </w:pPr>
      <w:r>
        <w:rPr>
          <w:rFonts w:hint="eastAsia"/>
        </w:rPr>
        <w:t>1）发布-订阅模式</w:t>
      </w:r>
    </w:p>
    <w:p w14:paraId="5DD65564">
      <w:pPr>
        <w:pStyle w:val="60"/>
        <w:ind w:firstLine="420"/>
      </w:pPr>
      <w:r>
        <w:rPr>
          <w:rFonts w:ascii="sans-serif" w:hAnsi="sans-serif" w:eastAsia="sans-serif" w:cs="sans-serif"/>
          <w:color w:val="2E2B29"/>
          <w:szCs w:val="21"/>
          <w:shd w:val="clear" w:color="auto" w:fill="FCFAF8"/>
        </w:rPr>
        <w:t>当数据提供方的数据状态发生变更时，</w:t>
      </w:r>
      <w:r>
        <w:rPr>
          <w:rFonts w:hint="eastAsia" w:ascii="sans-serif" w:hAnsi="sans-serif" w:cs="sans-serif"/>
          <w:color w:val="2E2B29"/>
          <w:szCs w:val="21"/>
          <w:shd w:val="clear" w:color="auto" w:fill="FCFAF8"/>
        </w:rPr>
        <w:t>平台</w:t>
      </w:r>
      <w:r>
        <w:rPr>
          <w:rFonts w:ascii="sans-serif" w:hAnsi="sans-serif" w:eastAsia="sans-serif" w:cs="sans-serif"/>
          <w:color w:val="2E2B29"/>
          <w:szCs w:val="21"/>
          <w:shd w:val="clear" w:color="auto" w:fill="FCFAF8"/>
        </w:rPr>
        <w:t>应主动向已订阅的数据使用方推送更新数据</w:t>
      </w:r>
      <w:r>
        <w:rPr>
          <w:rFonts w:hint="eastAsia"/>
        </w:rPr>
        <w:t>。</w:t>
      </w:r>
    </w:p>
    <w:p w14:paraId="0296B85F">
      <w:pPr>
        <w:pStyle w:val="60"/>
        <w:ind w:firstLine="420"/>
      </w:pPr>
      <w:r>
        <w:rPr>
          <w:rFonts w:hint="eastAsia"/>
        </w:rPr>
        <w:t>2）请求-响应模式</w:t>
      </w:r>
    </w:p>
    <w:p w14:paraId="6B2BBC39">
      <w:pPr>
        <w:pStyle w:val="60"/>
        <w:ind w:firstLine="420"/>
      </w:pPr>
      <w:r>
        <w:rPr>
          <w:rFonts w:hint="eastAsia" w:ascii="sans-serif" w:hAnsi="sans-serif" w:cs="sans-serif"/>
          <w:color w:val="2E2B29"/>
          <w:szCs w:val="21"/>
          <w:shd w:val="clear" w:color="auto" w:fill="FCFAF8"/>
        </w:rPr>
        <w:t>允许</w:t>
      </w:r>
      <w:r>
        <w:rPr>
          <w:rFonts w:ascii="sans-serif" w:hAnsi="sans-serif" w:eastAsia="sans-serif" w:cs="sans-serif"/>
          <w:color w:val="2E2B29"/>
          <w:szCs w:val="21"/>
          <w:shd w:val="clear" w:color="auto" w:fill="FCFAF8"/>
        </w:rPr>
        <w:t>数据使用方按条件向数据提供方发起</w:t>
      </w:r>
      <w:r>
        <w:rPr>
          <w:rFonts w:hint="eastAsia" w:ascii="sans-serif" w:hAnsi="sans-serif" w:cs="sans-serif"/>
          <w:color w:val="2E2B29"/>
          <w:szCs w:val="21"/>
          <w:shd w:val="clear" w:color="auto" w:fill="FCFAF8"/>
        </w:rPr>
        <w:t>数据共享</w:t>
      </w:r>
      <w:r>
        <w:rPr>
          <w:rFonts w:ascii="sans-serif" w:hAnsi="sans-serif" w:eastAsia="sans-serif" w:cs="sans-serif"/>
          <w:color w:val="2E2B29"/>
          <w:szCs w:val="21"/>
          <w:shd w:val="clear" w:color="auto" w:fill="FCFAF8"/>
        </w:rPr>
        <w:t>请求，</w:t>
      </w:r>
      <w:r>
        <w:rPr>
          <w:rFonts w:hint="eastAsia" w:ascii="sans-serif" w:hAnsi="sans-serif" w:cs="sans-serif"/>
          <w:color w:val="2E2B29"/>
          <w:szCs w:val="21"/>
          <w:shd w:val="clear" w:color="auto" w:fill="FCFAF8"/>
        </w:rPr>
        <w:t>并由平台</w:t>
      </w:r>
      <w:r>
        <w:rPr>
          <w:rFonts w:ascii="sans-serif" w:hAnsi="sans-serif" w:eastAsia="sans-serif" w:cs="sans-serif"/>
          <w:color w:val="2E2B29"/>
          <w:szCs w:val="21"/>
          <w:shd w:val="clear" w:color="auto" w:fill="FCFAF8"/>
        </w:rPr>
        <w:t>返回</w:t>
      </w:r>
      <w:r>
        <w:rPr>
          <w:rFonts w:hint="eastAsia" w:ascii="sans-serif" w:hAnsi="sans-serif" w:cs="sans-serif"/>
          <w:color w:val="2E2B29"/>
          <w:szCs w:val="21"/>
          <w:shd w:val="clear" w:color="auto" w:fill="FCFAF8"/>
        </w:rPr>
        <w:t>数据使用方所需的</w:t>
      </w:r>
      <w:r>
        <w:rPr>
          <w:rFonts w:ascii="sans-serif" w:hAnsi="sans-serif" w:eastAsia="sans-serif" w:cs="sans-serif"/>
          <w:color w:val="2E2B29"/>
          <w:szCs w:val="21"/>
          <w:shd w:val="clear" w:color="auto" w:fill="FCFAF8"/>
        </w:rPr>
        <w:t>数据。</w:t>
      </w:r>
    </w:p>
    <w:p w14:paraId="07E0BAE4">
      <w:pPr>
        <w:pStyle w:val="60"/>
        <w:ind w:firstLine="420"/>
      </w:pPr>
      <w:r>
        <w:rPr>
          <w:rFonts w:hint="eastAsia"/>
        </w:rPr>
        <w:t>3）批量数据交换模式</w:t>
      </w:r>
    </w:p>
    <w:p w14:paraId="536E81B0">
      <w:pPr>
        <w:pStyle w:val="60"/>
        <w:ind w:firstLine="420"/>
      </w:pPr>
      <w:r>
        <w:rPr>
          <w:rFonts w:hint="eastAsia"/>
        </w:rPr>
        <w:t>平台支持基于约定规则（如固定周期或特定触发条件）的全量或增量数据集中传输，满足离线数据汇总与定期同步的需要。</w:t>
      </w:r>
    </w:p>
    <w:p w14:paraId="51721401">
      <w:pPr>
        <w:pStyle w:val="109"/>
        <w:spacing w:before="120" w:after="120"/>
      </w:pPr>
      <w:bookmarkStart w:id="147" w:name="_Toc20969"/>
      <w:bookmarkStart w:id="148" w:name="_Toc30260"/>
      <w:bookmarkStart w:id="149" w:name="_Toc26688"/>
      <w:bookmarkStart w:id="150" w:name="_Toc9862"/>
      <w:bookmarkStart w:id="151" w:name="_Toc19401"/>
      <w:bookmarkStart w:id="152" w:name="_Toc210118579"/>
      <w:bookmarkStart w:id="153" w:name="_Toc4985"/>
      <w:bookmarkStart w:id="154" w:name="_Toc213945306"/>
      <w:r>
        <w:rPr>
          <w:rFonts w:hint="eastAsia"/>
        </w:rPr>
        <w:t>数据更新与维护</w:t>
      </w:r>
      <w:bookmarkEnd w:id="147"/>
      <w:bookmarkEnd w:id="148"/>
      <w:bookmarkEnd w:id="149"/>
      <w:bookmarkEnd w:id="150"/>
      <w:bookmarkEnd w:id="151"/>
      <w:bookmarkEnd w:id="152"/>
      <w:bookmarkEnd w:id="153"/>
      <w:bookmarkEnd w:id="154"/>
    </w:p>
    <w:p w14:paraId="207646C1">
      <w:pPr>
        <w:pStyle w:val="69"/>
        <w:spacing w:before="120" w:after="120"/>
      </w:pPr>
      <w:bookmarkStart w:id="155" w:name="_Toc210118580"/>
      <w:r>
        <w:rPr>
          <w:rFonts w:hint="eastAsia"/>
        </w:rPr>
        <w:t>数据更新</w:t>
      </w:r>
      <w:bookmarkEnd w:id="155"/>
    </w:p>
    <w:p w14:paraId="74850C2A">
      <w:pPr>
        <w:pStyle w:val="60"/>
        <w:ind w:firstLine="420"/>
      </w:pPr>
      <w:r>
        <w:rPr>
          <w:rFonts w:hint="eastAsia"/>
        </w:rPr>
        <w:t>1）对于火情态势、气象、救援力量分布等高动态性数据，数据使用方和提供方宜配置实时更新策略，使数据能够反映火场的最新状态。</w:t>
      </w:r>
    </w:p>
    <w:p w14:paraId="2F308DFC">
      <w:pPr>
        <w:pStyle w:val="60"/>
        <w:ind w:firstLine="420"/>
      </w:pPr>
      <w:r>
        <w:rPr>
          <w:rFonts w:hint="eastAsia"/>
        </w:rPr>
        <w:t>2)对于基础地理信息、队伍基础信息、预案信息等静态数据，数据提供方应采用定期更新（如每周、每月或按需）和事件触发更新（如行政区划调整、队伍编制变化）相结合的机制。定期更新周期宜根据数据类型按周、按月或按需确定；事件触发更新应在行政区划调整、队伍编制变化等情形发生后及时启动。</w:t>
      </w:r>
    </w:p>
    <w:p w14:paraId="74C3D795">
      <w:pPr>
        <w:pStyle w:val="69"/>
        <w:spacing w:before="120" w:after="120"/>
      </w:pPr>
      <w:bookmarkStart w:id="156" w:name="_Toc210118581"/>
      <w:r>
        <w:rPr>
          <w:rFonts w:hint="eastAsia"/>
        </w:rPr>
        <w:t>数据维护</w:t>
      </w:r>
      <w:bookmarkEnd w:id="156"/>
    </w:p>
    <w:p w14:paraId="18326392">
      <w:pPr>
        <w:pStyle w:val="60"/>
        <w:ind w:firstLine="420"/>
      </w:pPr>
      <w:r>
        <w:rPr>
          <w:rFonts w:hint="eastAsia"/>
        </w:rPr>
        <w:t>1)数据提供方应对数据的准确性、完整性及版本一致性进行校验与维护，以实现输出数据与源端状态保持同步。</w:t>
      </w:r>
    </w:p>
    <w:p w14:paraId="60229601">
      <w:pPr>
        <w:pStyle w:val="60"/>
        <w:ind w:firstLine="420"/>
      </w:pPr>
      <w:r>
        <w:rPr>
          <w:rFonts w:hint="eastAsia"/>
        </w:rPr>
        <w:t>2)数据使用方和提供方宜建立数据质量协同修正机制，当数据使用方在应用过程中发现数据异常或错误时，应及时反馈至提供方进行核实与处理。</w:t>
      </w:r>
    </w:p>
    <w:p w14:paraId="29E18685">
      <w:pPr>
        <w:pStyle w:val="109"/>
        <w:spacing w:before="120" w:after="120"/>
      </w:pPr>
      <w:bookmarkStart w:id="157" w:name="_Toc4145"/>
      <w:bookmarkStart w:id="158" w:name="_Toc13384"/>
      <w:r>
        <w:rPr>
          <w:rFonts w:hint="eastAsia"/>
        </w:rPr>
        <w:t>数据安全</w:t>
      </w:r>
      <w:bookmarkEnd w:id="157"/>
      <w:bookmarkEnd w:id="158"/>
    </w:p>
    <w:p w14:paraId="4BF27435">
      <w:pPr>
        <w:pStyle w:val="69"/>
        <w:spacing w:before="120" w:after="120"/>
      </w:pPr>
      <w:r>
        <w:rPr>
          <w:rFonts w:hint="eastAsia"/>
        </w:rPr>
        <w:t>数据保护</w:t>
      </w:r>
    </w:p>
    <w:p w14:paraId="2F60F191">
      <w:pPr>
        <w:pStyle w:val="60"/>
        <w:ind w:firstLine="420"/>
      </w:pPr>
      <w:r>
        <w:rPr>
          <w:rFonts w:hint="eastAsia"/>
        </w:rPr>
        <w:t>1)传输加密：敏感数据及关键指令在网络传输过程中应采用加密传输，防止数据被截获或篡改。</w:t>
      </w:r>
    </w:p>
    <w:p w14:paraId="35201920">
      <w:pPr>
        <w:pStyle w:val="60"/>
        <w:ind w:firstLine="420"/>
      </w:pPr>
      <w:r>
        <w:rPr>
          <w:rFonts w:hint="eastAsia"/>
        </w:rPr>
        <w:t>2)存储加密：存储的核心业务数据和人员隐私数据应采取加密存储或脱敏处理措施。</w:t>
      </w:r>
    </w:p>
    <w:p w14:paraId="2B70A51C">
      <w:pPr>
        <w:pStyle w:val="69"/>
        <w:spacing w:before="120" w:after="120"/>
      </w:pPr>
      <w:r>
        <w:rPr>
          <w:rFonts w:hint="eastAsia"/>
        </w:rPr>
        <w:t>数据备份与恢复</w:t>
      </w:r>
    </w:p>
    <w:p w14:paraId="1B7AFDC3">
      <w:pPr>
        <w:pStyle w:val="60"/>
        <w:ind w:firstLine="420"/>
      </w:pPr>
      <w:r>
        <w:rPr>
          <w:rFonts w:hint="eastAsia"/>
        </w:rPr>
        <w:t>数据提供方应制定数据备份策略，明确全量备份与增量备份的频次、存储介质及保留期限，并定期开展数据恢复演练。</w:t>
      </w:r>
    </w:p>
    <w:p w14:paraId="5865EC78">
      <w:pPr>
        <w:pStyle w:val="109"/>
        <w:spacing w:before="120" w:after="120"/>
      </w:pPr>
      <w:bookmarkStart w:id="159" w:name="_Toc14527"/>
      <w:bookmarkStart w:id="160" w:name="_Toc1831"/>
      <w:bookmarkStart w:id="161" w:name="_Toc5554"/>
      <w:bookmarkStart w:id="162" w:name="_Toc1270"/>
      <w:bookmarkStart w:id="163" w:name="_Toc213945312"/>
      <w:bookmarkStart w:id="164" w:name="_Toc11144"/>
      <w:bookmarkStart w:id="165" w:name="_Toc210118603"/>
      <w:bookmarkStart w:id="166" w:name="_Toc525119169"/>
      <w:bookmarkStart w:id="167" w:name="_Toc8653"/>
      <w:r>
        <w:rPr>
          <w:rFonts w:hint="eastAsia"/>
        </w:rPr>
        <w:t>数据应用分析</w:t>
      </w:r>
      <w:bookmarkEnd w:id="159"/>
      <w:bookmarkEnd w:id="160"/>
    </w:p>
    <w:p w14:paraId="592D8E22">
      <w:pPr>
        <w:pStyle w:val="60"/>
        <w:ind w:firstLine="420"/>
      </w:pPr>
      <w:r>
        <w:rPr>
          <w:rFonts w:hint="eastAsia"/>
        </w:rPr>
        <w:t>参与火场扑救的相关单位应强化火场数据在火灾扑救各个环节应用，为指挥救援提供数据支撑。应用场景应包括以下方面：</w:t>
      </w:r>
    </w:p>
    <w:p w14:paraId="43B2A6B0">
      <w:pPr>
        <w:pStyle w:val="60"/>
        <w:ind w:firstLine="420"/>
      </w:pPr>
      <w:r>
        <w:rPr>
          <w:rFonts w:hint="eastAsia"/>
        </w:rPr>
        <w:t>1）火情监测：基于实时感知数据，监测火情发展态势及异常变化。</w:t>
      </w:r>
    </w:p>
    <w:p w14:paraId="37B17CD6">
      <w:pPr>
        <w:pStyle w:val="60"/>
        <w:ind w:firstLine="420"/>
      </w:pPr>
      <w:r>
        <w:rPr>
          <w:rFonts w:hint="eastAsia"/>
        </w:rPr>
        <w:t>2）态势研判：基于环境因素、林火对象、灭火力量投入等数据，分析火场蔓延趋势，辅助指挥决策。</w:t>
      </w:r>
    </w:p>
    <w:p w14:paraId="2F0F01D9">
      <w:pPr>
        <w:pStyle w:val="60"/>
        <w:ind w:firstLine="420"/>
      </w:pPr>
      <w:r>
        <w:rPr>
          <w:rFonts w:hint="eastAsia"/>
        </w:rPr>
        <w:t>3）力量调度：依据灭火力量实时位置与火场态势等数据，优化扑火力量部署与调度。</w:t>
      </w:r>
    </w:p>
    <w:p w14:paraId="6DC6AF15">
      <w:pPr>
        <w:pStyle w:val="60"/>
        <w:ind w:firstLine="420"/>
      </w:pPr>
      <w:r>
        <w:rPr>
          <w:rFonts w:hint="eastAsia"/>
        </w:rPr>
        <w:t>4）物资调配：基于物资消耗与位置数据，支撑物资的有效补给。</w:t>
      </w:r>
    </w:p>
    <w:p w14:paraId="7A379CE1">
      <w:pPr>
        <w:pStyle w:val="60"/>
        <w:ind w:firstLine="420"/>
      </w:pPr>
      <w:r>
        <w:rPr>
          <w:rFonts w:hint="eastAsia"/>
        </w:rPr>
        <w:t>5）灾后评估：利用历史记录数据，评估火灾损失及扑救效果。</w:t>
      </w:r>
    </w:p>
    <w:p w14:paraId="428A6570">
      <w:pPr>
        <w:pStyle w:val="108"/>
        <w:spacing w:before="240" w:after="240"/>
      </w:pPr>
      <w:bookmarkStart w:id="168" w:name="_Toc20179"/>
      <w:bookmarkStart w:id="169" w:name="_Toc25495"/>
      <w:r>
        <w:rPr>
          <w:rFonts w:hint="eastAsia"/>
        </w:rPr>
        <w:t>森林草原火灾地空一体标准协同</w:t>
      </w:r>
      <w:bookmarkEnd w:id="161"/>
      <w:bookmarkEnd w:id="162"/>
      <w:bookmarkEnd w:id="163"/>
      <w:bookmarkEnd w:id="164"/>
      <w:bookmarkEnd w:id="165"/>
      <w:bookmarkEnd w:id="166"/>
      <w:bookmarkEnd w:id="167"/>
      <w:bookmarkEnd w:id="168"/>
      <w:bookmarkEnd w:id="169"/>
    </w:p>
    <w:p w14:paraId="526263B6">
      <w:pPr>
        <w:pStyle w:val="109"/>
        <w:spacing w:before="120" w:after="120"/>
      </w:pPr>
      <w:bookmarkStart w:id="170" w:name="_Toc2825"/>
      <w:bookmarkStart w:id="171" w:name="_Toc29227"/>
      <w:bookmarkStart w:id="172" w:name="_Toc28556"/>
      <w:bookmarkStart w:id="173" w:name="_Toc8424"/>
      <w:bookmarkStart w:id="174" w:name="_Toc213945317"/>
      <w:bookmarkStart w:id="175" w:name="_Toc8522"/>
      <w:bookmarkStart w:id="176" w:name="_Toc19953"/>
      <w:bookmarkStart w:id="177" w:name="_Toc210118612"/>
      <w:r>
        <w:rPr>
          <w:rFonts w:hint="eastAsia"/>
          <w:szCs w:val="21"/>
        </w:rPr>
        <w:t>协同基础信息标准</w:t>
      </w:r>
      <w:bookmarkEnd w:id="170"/>
      <w:bookmarkEnd w:id="171"/>
      <w:bookmarkEnd w:id="172"/>
      <w:bookmarkEnd w:id="173"/>
      <w:bookmarkEnd w:id="174"/>
      <w:bookmarkEnd w:id="175"/>
      <w:bookmarkEnd w:id="176"/>
      <w:bookmarkEnd w:id="177"/>
    </w:p>
    <w:p w14:paraId="239817C8">
      <w:pPr>
        <w:pStyle w:val="69"/>
        <w:spacing w:before="120" w:after="120"/>
      </w:pPr>
      <w:bookmarkStart w:id="178" w:name="_Toc210118613"/>
      <w:r>
        <w:rPr>
          <w:rFonts w:hint="eastAsia"/>
          <w:szCs w:val="21"/>
        </w:rPr>
        <w:t>时空基准</w:t>
      </w:r>
      <w:bookmarkEnd w:id="178"/>
    </w:p>
    <w:p w14:paraId="1CD52541">
      <w:pPr>
        <w:pStyle w:val="60"/>
        <w:ind w:firstLine="420"/>
      </w:pPr>
      <w:r>
        <w:rPr>
          <w:rFonts w:hint="eastAsia"/>
        </w:rPr>
        <w:t>地空协同作业应采用统一的时间和空间基准，与《中华人民共和国测绘法》《中华人民共和国飞行基本规则》及GB22021第4.1条的相关要求一致。</w:t>
      </w:r>
    </w:p>
    <w:p w14:paraId="38030109">
      <w:pPr>
        <w:pStyle w:val="60"/>
        <w:ind w:firstLine="420"/>
      </w:pPr>
      <w:r>
        <w:rPr>
          <w:rFonts w:hint="eastAsia"/>
        </w:rPr>
        <w:t>1)坐标系统</w:t>
      </w:r>
    </w:p>
    <w:p w14:paraId="664B889D">
      <w:pPr>
        <w:pStyle w:val="60"/>
        <w:ind w:firstLine="420"/>
      </w:pPr>
      <w:r>
        <w:rPr>
          <w:rFonts w:hint="eastAsia"/>
        </w:rPr>
        <w:t>空间位置信息应采用2000国家大地坐标系（CGCS2000）。</w:t>
      </w:r>
    </w:p>
    <w:p w14:paraId="7AC4E0C6">
      <w:pPr>
        <w:pStyle w:val="60"/>
        <w:ind w:firstLine="420"/>
      </w:pPr>
      <w:r>
        <w:rPr>
          <w:rFonts w:hint="eastAsia"/>
        </w:rPr>
        <w:t>2)高程基准</w:t>
      </w:r>
    </w:p>
    <w:p w14:paraId="6DF001CA">
      <w:pPr>
        <w:pStyle w:val="60"/>
        <w:ind w:firstLine="420"/>
      </w:pPr>
      <w:r>
        <w:rPr>
          <w:rFonts w:hint="eastAsia"/>
        </w:rPr>
        <w:t>航空器飞行高度应采用修正海平面气压高度；火场作业飞行时，宜采用无线电高度或场面气压高度，并应在作业简报中予以明确。</w:t>
      </w:r>
    </w:p>
    <w:p w14:paraId="2B8197F2">
      <w:pPr>
        <w:pStyle w:val="60"/>
        <w:ind w:firstLine="420"/>
      </w:pPr>
      <w:r>
        <w:rPr>
          <w:rFonts w:hint="eastAsia"/>
        </w:rPr>
        <w:t>3)时间基准</w:t>
      </w:r>
    </w:p>
    <w:p w14:paraId="25AEF89B">
      <w:pPr>
        <w:pStyle w:val="60"/>
        <w:ind w:firstLine="420"/>
      </w:pPr>
      <w:r>
        <w:rPr>
          <w:rFonts w:hint="eastAsia"/>
        </w:rPr>
        <w:t>应统一采用北京时间，授时误差应不大于5秒。</w:t>
      </w:r>
    </w:p>
    <w:p w14:paraId="4484160B">
      <w:pPr>
        <w:pStyle w:val="69"/>
        <w:spacing w:before="120" w:after="120"/>
      </w:pPr>
      <w:r>
        <w:rPr>
          <w:rFonts w:hint="eastAsia"/>
        </w:rPr>
        <w:t>标绘符号</w:t>
      </w:r>
    </w:p>
    <w:p w14:paraId="1A4E85A1">
      <w:pPr>
        <w:pStyle w:val="60"/>
        <w:spacing w:before="120" w:after="120"/>
        <w:ind w:firstLine="420"/>
      </w:pPr>
      <w:r>
        <w:rPr>
          <w:rFonts w:hint="eastAsia"/>
        </w:rPr>
        <w:t>火场标绘图形符号应遵循GB/T 35649第6条、GB/T 24354第6条、XF/T 3013第4和6条的规定，对于无通用标准和规范的图形符号可采用森林草原防火领域通用的图形符号，也可根据需要自定义相关图形符号，自定义符号应符合GB/T 35649第7条的符号扩充原则，在图例中明确标注其含义、颜色、尺寸及适用场景，并配套编制说明文件。</w:t>
      </w:r>
    </w:p>
    <w:p w14:paraId="51693EF7">
      <w:pPr>
        <w:pStyle w:val="109"/>
        <w:spacing w:before="120" w:after="120"/>
      </w:pPr>
      <w:bookmarkStart w:id="179" w:name="_Toc28150"/>
      <w:bookmarkStart w:id="180" w:name="_Toc14487"/>
      <w:bookmarkStart w:id="181" w:name="_Toc29735"/>
      <w:r>
        <w:rPr>
          <w:rFonts w:hint="eastAsia"/>
        </w:rPr>
        <w:t>协同通信与指令标准</w:t>
      </w:r>
      <w:bookmarkEnd w:id="179"/>
      <w:bookmarkEnd w:id="180"/>
      <w:bookmarkEnd w:id="181"/>
    </w:p>
    <w:p w14:paraId="4DA15C87">
      <w:pPr>
        <w:pStyle w:val="69"/>
        <w:spacing w:before="120" w:after="120"/>
      </w:pPr>
      <w:r>
        <w:rPr>
          <w:rFonts w:hint="eastAsia"/>
        </w:rPr>
        <w:t>频率与呼号</w:t>
      </w:r>
    </w:p>
    <w:p w14:paraId="426775DE">
      <w:pPr>
        <w:pStyle w:val="60"/>
        <w:ind w:firstLine="420"/>
      </w:pPr>
      <w:r>
        <w:rPr>
          <w:rFonts w:hint="eastAsia"/>
        </w:rPr>
        <w:t>地空协同通信的频率与呼号管理，应符合《中华人民共和国无线电管理条例》、YJ/T 38第9条的相关要求：</w:t>
      </w:r>
    </w:p>
    <w:p w14:paraId="1621A2CA">
      <w:pPr>
        <w:pStyle w:val="60"/>
        <w:ind w:firstLine="420"/>
      </w:pPr>
      <w:r>
        <w:rPr>
          <w:rFonts w:hint="eastAsia"/>
        </w:rPr>
        <w:t>1)频率规划与管理</w:t>
      </w:r>
    </w:p>
    <w:p w14:paraId="236ECA65">
      <w:pPr>
        <w:pStyle w:val="60"/>
        <w:ind w:firstLine="420"/>
      </w:pPr>
      <w:r>
        <w:rPr>
          <w:rFonts w:hint="eastAsia"/>
        </w:rPr>
        <w:t>地空通信应划分主用频率、备用频率及紧急呼叫频率，宜使用应急管理部、森林草原消防专用频率；</w:t>
      </w:r>
      <w:r>
        <w:t>火灾救援现场通信工作组应制定临时专用通信模式及扑火通信频率。各</w:t>
      </w:r>
      <w:r>
        <w:rPr>
          <w:rFonts w:hint="eastAsia"/>
        </w:rPr>
        <w:t>应急救援力量</w:t>
      </w:r>
      <w:r>
        <w:t>应服从</w:t>
      </w:r>
      <w:r>
        <w:rPr>
          <w:rFonts w:hint="eastAsia"/>
        </w:rPr>
        <w:t>火场前线指挥部</w:t>
      </w:r>
      <w:r>
        <w:t>的通信调度，未经许可，不应擅自进入火灾救援现场基站网络内工作</w:t>
      </w:r>
      <w:r>
        <w:rPr>
          <w:rFonts w:hint="eastAsia"/>
        </w:rPr>
        <w:t>；</w:t>
      </w:r>
      <w:r>
        <w:t>改换信道时，应通知</w:t>
      </w:r>
      <w:r>
        <w:rPr>
          <w:rFonts w:hint="eastAsia"/>
        </w:rPr>
        <w:t>火场前线指挥部</w:t>
      </w:r>
      <w:r>
        <w:t>和有关通话对象。</w:t>
      </w:r>
    </w:p>
    <w:p w14:paraId="6C574235">
      <w:pPr>
        <w:pStyle w:val="60"/>
        <w:ind w:firstLine="420"/>
      </w:pPr>
      <w:r>
        <w:rPr>
          <w:rFonts w:hint="eastAsia"/>
        </w:rPr>
        <w:t>2)呼号编制</w:t>
      </w:r>
    </w:p>
    <w:p w14:paraId="6A93C9F6">
      <w:pPr>
        <w:pStyle w:val="60"/>
        <w:ind w:firstLine="420"/>
      </w:pPr>
      <w:r>
        <w:rPr>
          <w:rFonts w:hint="eastAsia"/>
        </w:rPr>
        <w:t>地空协同通信呼号应采用“地名/单位名+功能/代号”的格式，禁止使用非标准代号；同一火场所有作业航空器、地面作业单元的呼号应唯一，不得重复。</w:t>
      </w:r>
    </w:p>
    <w:p w14:paraId="42B7D2FC">
      <w:pPr>
        <w:pStyle w:val="69"/>
        <w:spacing w:before="120" w:after="120"/>
      </w:pPr>
      <w:r>
        <w:rPr>
          <w:rFonts w:hint="eastAsia"/>
        </w:rPr>
        <w:t>简语与指令</w:t>
      </w:r>
    </w:p>
    <w:p w14:paraId="2125E79D">
      <w:pPr>
        <w:pStyle w:val="60"/>
        <w:ind w:firstLine="420"/>
      </w:pPr>
      <w:r>
        <w:rPr>
          <w:rFonts w:hint="eastAsia"/>
        </w:rPr>
        <w:t>1）地空协同通信应使用标准无线电通话用语，用语应简洁、准确、清晰，禁止使用模糊、歧义、非标准化用语。</w:t>
      </w:r>
    </w:p>
    <w:p w14:paraId="46333240">
      <w:pPr>
        <w:pStyle w:val="60"/>
        <w:ind w:firstLine="420"/>
      </w:pPr>
      <w:r>
        <w:rPr>
          <w:rFonts w:hint="eastAsia"/>
        </w:rPr>
        <w:t>2）指令发布应采用“呼叫方呼号+被叫方呼号+指令内容+指令编号”的标准化格式，指令接收方应采用“被叫方呼号+收到+指令内容复述”的格式进行确认，关键指令应执行复诵程序。</w:t>
      </w:r>
    </w:p>
    <w:p w14:paraId="351B8E47">
      <w:pPr>
        <w:pStyle w:val="69"/>
        <w:spacing w:before="120" w:after="120"/>
      </w:pPr>
      <w:r>
        <w:t>火场</w:t>
      </w:r>
      <w:r>
        <w:rPr>
          <w:rFonts w:hint="eastAsia"/>
        </w:rPr>
        <w:t>应急指挥通信</w:t>
      </w:r>
    </w:p>
    <w:p w14:paraId="7D2E0923">
      <w:pPr>
        <w:pStyle w:val="60"/>
        <w:ind w:firstLine="420"/>
      </w:pPr>
      <w:r>
        <w:rPr>
          <w:rFonts w:hint="eastAsia"/>
        </w:rPr>
        <w:t>为应对复杂地形、高郁闭度林区等情况阻断通信，提升火场应急指挥通信的可靠性和稳定性，火场应急指挥通信应遵循下列要求：</w:t>
      </w:r>
    </w:p>
    <w:p w14:paraId="6A2191A0">
      <w:pPr>
        <w:pStyle w:val="60"/>
        <w:ind w:firstLine="420"/>
      </w:pPr>
      <w:r>
        <w:rPr>
          <w:rFonts w:hint="eastAsia"/>
        </w:rPr>
        <w:t>1)当前往火场途中或火灾发生区域有公网覆盖时，应采用公网作为通信手段；</w:t>
      </w:r>
    </w:p>
    <w:p w14:paraId="24DCA887">
      <w:pPr>
        <w:pStyle w:val="60"/>
        <w:ind w:firstLine="420"/>
      </w:pPr>
      <w:r>
        <w:rPr>
          <w:rFonts w:hint="eastAsia"/>
        </w:rPr>
        <w:t>2)当火灾发生在偏远区域没有公网如4G/5G网络覆盖时，优先采用窄带集群通信保证语音，然后采用宽带集群实现语音、视频通信；</w:t>
      </w:r>
    </w:p>
    <w:p w14:paraId="403A111E">
      <w:pPr>
        <w:pStyle w:val="60"/>
        <w:ind w:firstLine="420"/>
      </w:pPr>
      <w:r>
        <w:rPr>
          <w:rFonts w:hint="eastAsia"/>
        </w:rPr>
        <w:t>3）地空消防力量和火场前线指挥部应部署便携式卫星站、窄带自组网和宽带自组网；</w:t>
      </w:r>
    </w:p>
    <w:p w14:paraId="0EAF9015">
      <w:pPr>
        <w:pStyle w:val="60"/>
        <w:ind w:firstLine="420"/>
      </w:pPr>
      <w:r>
        <w:rPr>
          <w:rFonts w:hint="eastAsia"/>
        </w:rPr>
        <w:t>4）火场前线指挥部与火灾现场之间、火灾现场的2台基站间隔较远，窄带或宽带自组网无法直接连接时，可通过无人机在空中搭建自组网中继节点，实现两个区域的信号中继。</w:t>
      </w:r>
    </w:p>
    <w:p w14:paraId="0037237D">
      <w:pPr>
        <w:pStyle w:val="109"/>
        <w:spacing w:before="120" w:after="120"/>
      </w:pPr>
      <w:bookmarkStart w:id="182" w:name="_Toc29863"/>
      <w:bookmarkStart w:id="183" w:name="_Toc25904"/>
      <w:r>
        <w:rPr>
          <w:rFonts w:hint="eastAsia"/>
        </w:rPr>
        <w:t>协同灭火标准</w:t>
      </w:r>
      <w:bookmarkEnd w:id="182"/>
      <w:bookmarkEnd w:id="183"/>
    </w:p>
    <w:p w14:paraId="5E592C2E">
      <w:pPr>
        <w:pStyle w:val="69"/>
        <w:spacing w:before="120" w:after="120"/>
      </w:pPr>
      <w:r>
        <w:rPr>
          <w:rFonts w:hint="eastAsia"/>
        </w:rPr>
        <w:t>航空灭火作业</w:t>
      </w:r>
    </w:p>
    <w:p w14:paraId="1E00BC47">
      <w:pPr>
        <w:pStyle w:val="60"/>
        <w:ind w:firstLine="420"/>
      </w:pPr>
      <w:r>
        <w:rPr>
          <w:rFonts w:hint="eastAsia"/>
        </w:rPr>
        <w:t>1）机群洒液灭火</w:t>
      </w:r>
    </w:p>
    <w:p w14:paraId="1D43B04F">
      <w:pPr>
        <w:pStyle w:val="60"/>
        <w:ind w:firstLine="420"/>
      </w:pPr>
      <w:r>
        <w:rPr>
          <w:rFonts w:hint="eastAsia"/>
        </w:rPr>
        <w:t>机群洒液灭火需遵守MH/T 1033</w:t>
      </w:r>
      <w:r>
        <w:t>第</w:t>
      </w:r>
      <w:r>
        <w:rPr>
          <w:rFonts w:hint="eastAsia"/>
        </w:rPr>
        <w:t>7.1</w:t>
      </w:r>
      <w:r>
        <w:t>条的规定</w:t>
      </w:r>
      <w:r>
        <w:rPr>
          <w:rFonts w:hint="eastAsia"/>
        </w:rPr>
        <w:t>。</w:t>
      </w:r>
    </w:p>
    <w:p w14:paraId="48CF893C">
      <w:pPr>
        <w:pStyle w:val="60"/>
        <w:ind w:firstLine="420"/>
      </w:pPr>
      <w:r>
        <w:rPr>
          <w:rFonts w:hint="eastAsia"/>
        </w:rPr>
        <w:t>2）机降灭火</w:t>
      </w:r>
    </w:p>
    <w:p w14:paraId="5CD0A806">
      <w:pPr>
        <w:pStyle w:val="60"/>
        <w:ind w:firstLine="420"/>
      </w:pPr>
      <w:r>
        <w:rPr>
          <w:rFonts w:hint="eastAsia"/>
        </w:rPr>
        <w:t>机降灭火需遵守MH/T 1033</w:t>
      </w:r>
      <w:r>
        <w:t>第</w:t>
      </w:r>
      <w:r>
        <w:rPr>
          <w:rFonts w:hint="eastAsia"/>
        </w:rPr>
        <w:t>7.2.1</w:t>
      </w:r>
      <w:r>
        <w:t>条的规定</w:t>
      </w:r>
      <w:r>
        <w:rPr>
          <w:rFonts w:hint="eastAsia"/>
        </w:rPr>
        <w:t>。</w:t>
      </w:r>
    </w:p>
    <w:p w14:paraId="4BCAD73B">
      <w:pPr>
        <w:pStyle w:val="60"/>
        <w:ind w:firstLine="420"/>
      </w:pPr>
      <w:r>
        <w:rPr>
          <w:rFonts w:hint="eastAsia"/>
        </w:rPr>
        <w:t>3）索（滑）降扑火</w:t>
      </w:r>
    </w:p>
    <w:p w14:paraId="3FAFBF3C">
      <w:pPr>
        <w:pStyle w:val="60"/>
        <w:ind w:firstLine="420"/>
      </w:pPr>
      <w:r>
        <w:rPr>
          <w:rFonts w:hint="eastAsia"/>
        </w:rPr>
        <w:t>索（滑）降扑火需遵守MH/T 1033</w:t>
      </w:r>
      <w:r>
        <w:t>第</w:t>
      </w:r>
      <w:r>
        <w:rPr>
          <w:rFonts w:hint="eastAsia"/>
        </w:rPr>
        <w:t>7.2.2</w:t>
      </w:r>
      <w:r>
        <w:t>条的规定</w:t>
      </w:r>
      <w:r>
        <w:rPr>
          <w:rFonts w:hint="eastAsia"/>
        </w:rPr>
        <w:t>。</w:t>
      </w:r>
    </w:p>
    <w:p w14:paraId="5448419A">
      <w:pPr>
        <w:pStyle w:val="60"/>
        <w:ind w:firstLine="420"/>
      </w:pPr>
      <w:r>
        <w:rPr>
          <w:rFonts w:hint="eastAsia"/>
        </w:rPr>
        <w:t>4）吊桶灭火</w:t>
      </w:r>
    </w:p>
    <w:p w14:paraId="7309A4DB">
      <w:pPr>
        <w:pStyle w:val="60"/>
        <w:ind w:firstLine="420"/>
      </w:pPr>
      <w:r>
        <w:rPr>
          <w:rFonts w:hint="eastAsia"/>
        </w:rPr>
        <w:t>吊桶灭火宜遵守</w:t>
      </w:r>
      <w:r>
        <w:t>DB37/T 4562</w:t>
      </w:r>
      <w:r>
        <w:rPr>
          <w:rFonts w:hint="eastAsia"/>
        </w:rPr>
        <w:t>第6条的规定。</w:t>
      </w:r>
    </w:p>
    <w:p w14:paraId="540665AF">
      <w:pPr>
        <w:pStyle w:val="69"/>
        <w:spacing w:before="120" w:after="120"/>
      </w:pPr>
      <w:r>
        <w:rPr>
          <w:rFonts w:hint="eastAsia"/>
        </w:rPr>
        <w:t>地面灭火作业</w:t>
      </w:r>
    </w:p>
    <w:p w14:paraId="1477DBCB">
      <w:pPr>
        <w:pStyle w:val="60"/>
        <w:ind w:firstLine="420"/>
      </w:pPr>
      <w:r>
        <w:rPr>
          <w:rFonts w:hint="eastAsia"/>
        </w:rPr>
        <w:t>地面灭火作业需遵守YJ/T 35第5.4条、</w:t>
      </w:r>
      <w:r>
        <w:t>LY/T 1679</w:t>
      </w:r>
      <w:r>
        <w:rPr>
          <w:rFonts w:hint="eastAsia"/>
        </w:rPr>
        <w:t>第7条的规定。</w:t>
      </w:r>
    </w:p>
    <w:p w14:paraId="5537BFD4">
      <w:pPr>
        <w:pStyle w:val="108"/>
        <w:spacing w:before="240" w:after="240"/>
      </w:pPr>
      <w:bookmarkStart w:id="184" w:name="_Toc7381"/>
      <w:bookmarkStart w:id="185" w:name="_Toc12210"/>
      <w:r>
        <w:rPr>
          <w:rFonts w:hint="eastAsia"/>
        </w:rPr>
        <w:t>地空协同安全保障</w:t>
      </w:r>
      <w:bookmarkEnd w:id="184"/>
      <w:bookmarkEnd w:id="185"/>
    </w:p>
    <w:p w14:paraId="56C713FC">
      <w:pPr>
        <w:pStyle w:val="109"/>
        <w:spacing w:before="120" w:after="120"/>
      </w:pPr>
      <w:bookmarkStart w:id="186" w:name="_Toc16075"/>
      <w:bookmarkStart w:id="187" w:name="_Toc21094"/>
      <w:r>
        <w:rPr>
          <w:rFonts w:hint="eastAsia"/>
        </w:rPr>
        <w:t>作业安全</w:t>
      </w:r>
      <w:bookmarkEnd w:id="186"/>
      <w:bookmarkEnd w:id="187"/>
    </w:p>
    <w:p w14:paraId="2E56A0EF">
      <w:pPr>
        <w:pStyle w:val="60"/>
        <w:ind w:firstLine="420"/>
      </w:pPr>
      <w:r>
        <w:rPr>
          <w:rFonts w:hint="eastAsia"/>
        </w:rPr>
        <w:t>1）航空灭火安全</w:t>
      </w:r>
    </w:p>
    <w:p w14:paraId="4C68CA5D">
      <w:pPr>
        <w:pStyle w:val="60"/>
        <w:ind w:firstLine="420"/>
      </w:pPr>
      <w:r>
        <w:rPr>
          <w:rFonts w:hint="eastAsia"/>
        </w:rPr>
        <w:t>a）开展机群洒液灭火作业时，航空器飞行跟进间距应保持在500～800m。</w:t>
      </w:r>
    </w:p>
    <w:p w14:paraId="6B282DF2">
      <w:pPr>
        <w:pStyle w:val="60"/>
        <w:ind w:firstLine="420"/>
      </w:pPr>
      <w:r>
        <w:rPr>
          <w:rFonts w:hint="eastAsia"/>
        </w:rPr>
        <w:t>b）出现下列情形之一时，不宜实施机降灭火：</w:t>
      </w:r>
    </w:p>
    <w:p w14:paraId="7F7786C9">
      <w:pPr>
        <w:pStyle w:val="60"/>
        <w:ind w:firstLine="420"/>
      </w:pPr>
      <w:r>
        <w:rPr>
          <w:rFonts w:hint="eastAsia"/>
        </w:rPr>
        <w:t>海拔高、气温高、飞机加油量多，严重影响直升机性能和载量时；天气原因(有雷暴区、结冰区，云底高度在300m以下，碎云量7个以上，能见度3km以下)严重影响直升机性能和载量时；机降点距火场直线距离≥3km。</w:t>
      </w:r>
    </w:p>
    <w:p w14:paraId="277AC030">
      <w:pPr>
        <w:pStyle w:val="60"/>
        <w:ind w:firstLine="420"/>
      </w:pPr>
      <w:r>
        <w:rPr>
          <w:rFonts w:hint="eastAsia"/>
        </w:rPr>
        <w:t>c）出现下列情形之一时，不宜实施索（滑）降灭火：</w:t>
      </w:r>
    </w:p>
    <w:p w14:paraId="2B2BABF5">
      <w:pPr>
        <w:pStyle w:val="60"/>
        <w:ind w:firstLine="420"/>
      </w:pPr>
      <w:r>
        <w:rPr>
          <w:rFonts w:hint="eastAsia"/>
        </w:rPr>
        <w:t>阵风风速应＞4m/s，最大风速应＞8m/s；索(滑)降林窗面积应＜20m×20m；索(滑)降场地的坡度应＞30°，索上场地坡度＞40°。</w:t>
      </w:r>
    </w:p>
    <w:p w14:paraId="4570AA86">
      <w:pPr>
        <w:pStyle w:val="60"/>
        <w:ind w:firstLine="420"/>
      </w:pPr>
      <w:r>
        <w:rPr>
          <w:rFonts w:hint="eastAsia"/>
        </w:rPr>
        <w:t>2）地面扑救人员安全</w:t>
      </w:r>
    </w:p>
    <w:p w14:paraId="0E4AAC53">
      <w:pPr>
        <w:pStyle w:val="60"/>
        <w:ind w:firstLine="420"/>
      </w:pPr>
      <w:r>
        <w:rPr>
          <w:rFonts w:hint="eastAsia"/>
        </w:rPr>
        <w:t>a）地面扑救人员应接受航空安全知识培训，了解航空器作业风险和避让要求。</w:t>
      </w:r>
    </w:p>
    <w:p w14:paraId="61C1B73B">
      <w:pPr>
        <w:pStyle w:val="60"/>
        <w:ind w:firstLine="420"/>
      </w:pPr>
      <w:r>
        <w:rPr>
          <w:rFonts w:hint="eastAsia"/>
        </w:rPr>
        <w:t>b）地面扑救人员应与航空器始终保持足够的安全距离，避开起降航线，不应站在航空器起飞和降落的前方及无人机作业航线的正下方。</w:t>
      </w:r>
    </w:p>
    <w:p w14:paraId="5F9F2C6C">
      <w:pPr>
        <w:pStyle w:val="60"/>
        <w:ind w:firstLine="420"/>
      </w:pPr>
      <w:r>
        <w:rPr>
          <w:rFonts w:hint="eastAsia"/>
        </w:rPr>
        <w:t>3）应急处置预案</w:t>
      </w:r>
    </w:p>
    <w:p w14:paraId="78780AD7">
      <w:pPr>
        <w:pStyle w:val="60"/>
        <w:ind w:firstLine="420"/>
      </w:pPr>
      <w:r>
        <w:rPr>
          <w:rFonts w:hint="eastAsia"/>
        </w:rPr>
        <w:t>制定针对航空器故障、通信中断、迷航、紧急迫降、人员受伤、遭遇危险天气、空域冲突等突发情况的详细应急处置预案，明确应急指挥流程、信息报告程序、救援力量组织、协同配合要求等内容。</w:t>
      </w:r>
    </w:p>
    <w:p w14:paraId="3044D19E">
      <w:pPr>
        <w:pStyle w:val="60"/>
        <w:ind w:firstLine="420"/>
      </w:pPr>
      <w:r>
        <w:rPr>
          <w:rFonts w:hint="eastAsia"/>
        </w:rPr>
        <w:t>4）其他</w:t>
      </w:r>
    </w:p>
    <w:p w14:paraId="5B2A6972">
      <w:pPr>
        <w:pStyle w:val="60"/>
        <w:ind w:firstLine="420"/>
      </w:pPr>
      <w:r>
        <w:rPr>
          <w:rFonts w:hint="eastAsia"/>
        </w:rPr>
        <w:t>a）禁飞区设置</w:t>
      </w:r>
    </w:p>
    <w:p w14:paraId="051C2C75">
      <w:pPr>
        <w:pStyle w:val="60"/>
        <w:ind w:firstLine="420"/>
      </w:pPr>
      <w:r>
        <w:rPr>
          <w:rFonts w:hint="eastAsia"/>
        </w:rPr>
        <w:t>火场前线指挥部应结合地面扑火队伍作业范围与人员分布，划设火场航空作业禁飞区（含临时禁飞缓冲区），并向参与扑救的地空消防力量进行通报；禁飞区应重点覆盖地面扑火队伍集结区、指挥所、补给点、人员休整区及人员可能进入的作业通道等区域；未经火场前线指挥部许可，任何航空器不得进入禁飞区实施飞行、悬停、投水/投放等作业。禁飞区范围应根据火场态势、作业阶段及地面力量位置变化动态调整，并及时更新通报。</w:t>
      </w:r>
    </w:p>
    <w:p w14:paraId="24E24984">
      <w:pPr>
        <w:pStyle w:val="60"/>
        <w:ind w:firstLine="420"/>
      </w:pPr>
      <w:r>
        <w:rPr>
          <w:rFonts w:hint="eastAsia"/>
        </w:rPr>
        <w:t>b）临时起降点管理与个人防护</w:t>
      </w:r>
    </w:p>
    <w:p w14:paraId="182B0B99">
      <w:pPr>
        <w:pStyle w:val="60"/>
        <w:ind w:firstLine="420"/>
      </w:pPr>
      <w:r>
        <w:rPr>
          <w:rFonts w:hint="eastAsia"/>
        </w:rPr>
        <w:t>航空器临时起降点应设置明显标志和安全警戒区，由专人负责管理，禁止无关人员和车辆进入；参与航空消防的人员（空中和地面）应按规定配备和使用阻燃服、头盔、护目镜、手套、呼吸防护装置等个人防护装备。</w:t>
      </w:r>
    </w:p>
    <w:p w14:paraId="46689A5D">
      <w:pPr>
        <w:pStyle w:val="109"/>
        <w:spacing w:before="120" w:after="120"/>
      </w:pPr>
      <w:bookmarkStart w:id="188" w:name="_Toc27453"/>
      <w:bookmarkStart w:id="189" w:name="_Toc15020"/>
      <w:r>
        <w:rPr>
          <w:rFonts w:hint="eastAsia"/>
        </w:rPr>
        <w:t>应急管理</w:t>
      </w:r>
      <w:bookmarkEnd w:id="188"/>
      <w:bookmarkEnd w:id="189"/>
    </w:p>
    <w:p w14:paraId="35F6BAF3">
      <w:pPr>
        <w:pStyle w:val="60"/>
        <w:ind w:firstLine="420"/>
      </w:pPr>
      <w:r>
        <w:rPr>
          <w:rFonts w:hint="eastAsia"/>
        </w:rPr>
        <w:t>1）启动条件</w:t>
      </w:r>
    </w:p>
    <w:p w14:paraId="556EDBF6">
      <w:pPr>
        <w:pStyle w:val="60"/>
        <w:ind w:firstLine="420"/>
      </w:pPr>
      <w:r>
        <w:rPr>
          <w:rFonts w:hint="eastAsia"/>
        </w:rPr>
        <w:t>地空协同灭火作业过程中，遇下列情况之一时，地空消防力量负责人或火场前线指挥部应启动紧急避险与应急处置程序：</w:t>
      </w:r>
    </w:p>
    <w:p w14:paraId="18F9447C">
      <w:pPr>
        <w:pStyle w:val="60"/>
        <w:ind w:firstLine="420"/>
      </w:pPr>
      <w:r>
        <w:rPr>
          <w:rFonts w:hint="eastAsia"/>
        </w:rPr>
        <w:t>a）火场风向或风速突变，导致火势蔓延方向或速度发生显著改变，威胁地面扑火人员安全；</w:t>
      </w:r>
    </w:p>
    <w:p w14:paraId="2DC513E7">
      <w:pPr>
        <w:pStyle w:val="60"/>
        <w:ind w:firstLine="420"/>
      </w:pPr>
      <w:r>
        <w:rPr>
          <w:rFonts w:hint="eastAsia"/>
        </w:rPr>
        <w:t>b）航空器发生机械故障、燃油不足或气象条件急剧恶化等飞行安全紧急情况；</w:t>
      </w:r>
    </w:p>
    <w:p w14:paraId="7C994A00">
      <w:pPr>
        <w:pStyle w:val="60"/>
        <w:ind w:firstLine="420"/>
      </w:pPr>
      <w:r>
        <w:rPr>
          <w:rFonts w:hint="eastAsia"/>
        </w:rPr>
        <w:t>c）地面扑火人员陷入被火包围、退路受阻或发生人员伤亡等紧急险情；</w:t>
      </w:r>
    </w:p>
    <w:p w14:paraId="1FB8CDF9">
      <w:pPr>
        <w:pStyle w:val="60"/>
        <w:ind w:firstLine="420"/>
      </w:pPr>
      <w:r>
        <w:rPr>
          <w:rFonts w:hint="eastAsia"/>
        </w:rPr>
        <w:t>d）火场出现爆燃、飞火等极端火行为，现有作业条件不能保障人员安全；</w:t>
      </w:r>
    </w:p>
    <w:p w14:paraId="0FC2998F">
      <w:pPr>
        <w:pStyle w:val="60"/>
        <w:ind w:firstLine="420"/>
      </w:pPr>
      <w:r>
        <w:rPr>
          <w:rFonts w:hint="eastAsia"/>
        </w:rPr>
        <w:t>e）地空通信中断，航空器与地面人员无法建立有效联络，持续时间≥15min。</w:t>
      </w:r>
    </w:p>
    <w:p w14:paraId="3789BD18">
      <w:pPr>
        <w:pStyle w:val="60"/>
        <w:ind w:firstLine="420"/>
      </w:pPr>
      <w:r>
        <w:rPr>
          <w:rFonts w:hint="eastAsia"/>
        </w:rPr>
        <w:t>2）紧急避险程序</w:t>
      </w:r>
    </w:p>
    <w:p w14:paraId="3A2819C3">
      <w:pPr>
        <w:pStyle w:val="60"/>
        <w:ind w:firstLine="420"/>
      </w:pPr>
      <w:r>
        <w:rPr>
          <w:rFonts w:hint="eastAsia"/>
        </w:rPr>
        <w:t>a）航空消防力量避险</w:t>
      </w:r>
    </w:p>
    <w:p w14:paraId="2F7111BA">
      <w:pPr>
        <w:pStyle w:val="60"/>
        <w:ind w:firstLine="420"/>
      </w:pPr>
      <w:r>
        <w:rPr>
          <w:rFonts w:hint="eastAsia"/>
        </w:rPr>
        <w:t>飞行观察员发现紧急情况时，应立即向火场前线指挥部及地面联络员发出紧急避险通知，通报航空器位置、险情类型及处置意图，中止作业任务，按指定的离场点和高度层迅速脱离火场空域。多机协同作业时，航空器应按预定避险时序依次撤离，保持安全间隔，防止空中冲突。无法按预定路线撤离时，航空器班组应自行选择最近、最安全的备降场实施紧急降落，并及时通报位置。通信中断时，航空器班组应立即切换至预先约定的备用频率恢复联络；若仍无法恢复通信，应按预定紧急处置预案自主撤离，并在事后第一时间向火场前线指挥部报告。</w:t>
      </w:r>
    </w:p>
    <w:p w14:paraId="1FC1D5C7">
      <w:pPr>
        <w:pStyle w:val="60"/>
        <w:ind w:firstLine="420"/>
      </w:pPr>
      <w:r>
        <w:rPr>
          <w:rFonts w:hint="eastAsia"/>
        </w:rPr>
        <w:t>b）地面扑火队伍避险</w:t>
      </w:r>
    </w:p>
    <w:p w14:paraId="6A32F886">
      <w:pPr>
        <w:pStyle w:val="60"/>
        <w:ind w:firstLine="420"/>
      </w:pPr>
      <w:r>
        <w:rPr>
          <w:rFonts w:hint="eastAsia"/>
        </w:rPr>
        <w:t>地面联络员或扑火队负责人发现紧急情况时，应立即向火场地面扑救人员发出避险信号，并向火场前线指挥部报告；地面扑火队伍应立即停止作业，沿既定安全路线有序撤至指定安全区；退路受阻无法撤离时，地面扑火队伍应选择植被稀疏的地带，采取开设临时安全区、点火自救等方式实施原地避险。地面扑火队伍全部到达安全区后，队伍负责人应清点人数，并将人员状态及位置信息上报火场前线指挥部。</w:t>
      </w:r>
    </w:p>
    <w:p w14:paraId="40752697">
      <w:pPr>
        <w:pStyle w:val="60"/>
        <w:ind w:firstLine="420"/>
      </w:pPr>
      <w:r>
        <w:rPr>
          <w:rFonts w:hint="eastAsia"/>
        </w:rPr>
        <w:t>c）地空避险协同</w:t>
      </w:r>
    </w:p>
    <w:p w14:paraId="695636A2">
      <w:pPr>
        <w:pStyle w:val="60"/>
        <w:ind w:firstLine="420"/>
      </w:pPr>
      <w:r>
        <w:rPr>
          <w:rFonts w:hint="eastAsia"/>
        </w:rPr>
        <w:t>在实施避险的同时，飞行观察员应持续观察火情动态，将地面险情信息实时通报火场前线指挥部，协助引导地面队伍撤离。</w:t>
      </w:r>
    </w:p>
    <w:p w14:paraId="2B7AE581">
      <w:pPr>
        <w:pStyle w:val="60"/>
        <w:ind w:firstLine="420"/>
      </w:pPr>
      <w:r>
        <w:rPr>
          <w:rFonts w:hint="eastAsia"/>
        </w:rPr>
        <w:t>3）事故应急处置</w:t>
      </w:r>
    </w:p>
    <w:p w14:paraId="24C35AFC">
      <w:pPr>
        <w:pStyle w:val="60"/>
        <w:ind w:firstLine="420"/>
      </w:pPr>
      <w:r>
        <w:rPr>
          <w:rFonts w:hint="eastAsia"/>
        </w:rPr>
        <w:t>a）航空器故障/碰撞风险处置</w:t>
      </w:r>
    </w:p>
    <w:p w14:paraId="75863635">
      <w:pPr>
        <w:pStyle w:val="60"/>
        <w:ind w:firstLine="420"/>
      </w:pPr>
      <w:r>
        <w:rPr>
          <w:rFonts w:hint="eastAsia"/>
        </w:rPr>
        <w:t>航空器发生故障或存在碰撞风险时，航空消防力量立即报告火场前线指挥部。火场前线指挥部应对事故区域划设临时禁飞区，禁止无关航空器进入，其他参与作业的航空器应立即停止作业，在安全空域待命。</w:t>
      </w:r>
    </w:p>
    <w:p w14:paraId="38DA8617">
      <w:pPr>
        <w:pStyle w:val="60"/>
        <w:ind w:firstLine="420"/>
      </w:pPr>
      <w:r>
        <w:rPr>
          <w:rFonts w:hint="eastAsia"/>
        </w:rPr>
        <w:t>b）人员伤亡处置</w:t>
      </w:r>
    </w:p>
    <w:p w14:paraId="3256FD7E">
      <w:pPr>
        <w:pStyle w:val="60"/>
        <w:ind w:firstLine="420"/>
      </w:pPr>
      <w:r>
        <w:rPr>
          <w:rFonts w:hint="eastAsia"/>
        </w:rPr>
        <w:t>发生人员伤亡时，现场负责人应立即组织现场急救。当伤亡人员所处位置地面交通不便时，火场前线指挥部应协调航空消防力量实施空中医疗转运。</w:t>
      </w:r>
    </w:p>
    <w:p w14:paraId="4E479C25">
      <w:pPr>
        <w:pStyle w:val="60"/>
        <w:ind w:firstLine="420"/>
      </w:pPr>
      <w:r>
        <w:rPr>
          <w:rFonts w:hint="eastAsia"/>
        </w:rPr>
        <w:t>c）地空协同通信中断处置</w:t>
      </w:r>
    </w:p>
    <w:p w14:paraId="2C3E1B53">
      <w:pPr>
        <w:pStyle w:val="60"/>
        <w:ind w:firstLine="420"/>
      </w:pPr>
      <w:r>
        <w:rPr>
          <w:rFonts w:hint="eastAsia"/>
        </w:rPr>
        <w:t>若地空通信中断，火场前线指挥部应立即尝试通过备用频率、卫星通信或中继方式恢复联络；地面联络员应持续尝试呼叫，并向周边执行任务的其他航空器发出中继协助请求。规定时限内仍无法恢复通信时，火场前线指挥应按失联航空器程序启动搜救，同步通报空中交通管理机构。</w:t>
      </w:r>
    </w:p>
    <w:p w14:paraId="65AAF77F">
      <w:pPr>
        <w:pStyle w:val="60"/>
        <w:ind w:firstLine="420"/>
        <w:sectPr>
          <w:footerReference r:id="rId12" w:type="default"/>
          <w:pgSz w:w="11906" w:h="16838"/>
          <w:pgMar w:top="1928" w:right="1134" w:bottom="1134" w:left="1134" w:header="1418" w:footer="1134" w:gutter="284"/>
          <w:pgNumType w:start="4"/>
          <w:cols w:space="425" w:num="1"/>
          <w:formProt w:val="0"/>
          <w:docGrid w:linePitch="312" w:charSpace="0"/>
        </w:sectPr>
      </w:pPr>
    </w:p>
    <w:bookmarkEnd w:id="29"/>
    <w:p w14:paraId="6AE5B3C0">
      <w:pPr>
        <w:pStyle w:val="202"/>
        <w:rPr>
          <w:rFonts w:hint="eastAsia"/>
          <w:vanish w:val="0"/>
        </w:rPr>
      </w:pPr>
      <w:bookmarkStart w:id="190" w:name="BookMark5"/>
    </w:p>
    <w:p w14:paraId="092DCD2E">
      <w:pPr>
        <w:pStyle w:val="203"/>
        <w:rPr>
          <w:vanish w:val="0"/>
        </w:rPr>
      </w:pPr>
    </w:p>
    <w:bookmarkEnd w:id="190"/>
    <w:p w14:paraId="3D251E13">
      <w:pPr>
        <w:pStyle w:val="67"/>
        <w:spacing w:after="120"/>
      </w:pPr>
      <w:bookmarkStart w:id="191" w:name="_Toc26767"/>
      <w:bookmarkStart w:id="192" w:name="_Toc150951490"/>
      <w:bookmarkStart w:id="193" w:name="_Toc11375"/>
      <w:bookmarkStart w:id="194" w:name="_Toc147753936"/>
      <w:bookmarkStart w:id="195" w:name="BookMark6"/>
      <w:r>
        <w:rPr>
          <w:rFonts w:hint="eastAsia"/>
          <w:spacing w:val="105"/>
        </w:rPr>
        <w:t>参考文</w:t>
      </w:r>
      <w:r>
        <w:rPr>
          <w:rFonts w:hint="eastAsia"/>
        </w:rPr>
        <w:t>献</w:t>
      </w:r>
      <w:bookmarkEnd w:id="191"/>
      <w:bookmarkEnd w:id="192"/>
      <w:bookmarkEnd w:id="193"/>
      <w:bookmarkEnd w:id="194"/>
    </w:p>
    <w:p w14:paraId="53FF99DD">
      <w:pPr>
        <w:pStyle w:val="60"/>
        <w:ind w:firstLine="420"/>
      </w:pPr>
      <w:r>
        <w:rPr>
          <w:rFonts w:hint="eastAsia"/>
        </w:rPr>
        <w:t>[</w:t>
      </w:r>
      <w:r>
        <w:t>1] LY/T2665-2016</w:t>
      </w:r>
      <w:r>
        <w:rPr>
          <w:rFonts w:hint="eastAsia"/>
        </w:rPr>
        <w:t>森林火险因子采集站建设及采集技术规范</w:t>
      </w:r>
    </w:p>
    <w:p w14:paraId="0FBEA0C2">
      <w:pPr>
        <w:pStyle w:val="60"/>
        <w:ind w:firstLine="420"/>
      </w:pPr>
      <w:r>
        <w:rPr>
          <w:rFonts w:hint="eastAsia"/>
        </w:rPr>
        <w:t>[2</w:t>
      </w:r>
      <w:r>
        <w:t>] LY/T2585-2016</w:t>
      </w:r>
      <w:r>
        <w:rPr>
          <w:rFonts w:hint="eastAsia"/>
        </w:rPr>
        <w:t>森林火灾信息处置规范</w:t>
      </w:r>
    </w:p>
    <w:p w14:paraId="1F29F46A">
      <w:pPr>
        <w:pStyle w:val="60"/>
        <w:ind w:firstLine="420"/>
      </w:pPr>
      <w:r>
        <w:rPr>
          <w:rFonts w:hint="eastAsia"/>
        </w:rPr>
        <w:t>[3</w:t>
      </w:r>
      <w:r>
        <w:t>] DB63/T2191-2023</w:t>
      </w:r>
      <w:r>
        <w:rPr>
          <w:rFonts w:hint="eastAsia"/>
        </w:rPr>
        <w:t>森林草原火灾预警监测体系建设规范</w:t>
      </w:r>
    </w:p>
    <w:p w14:paraId="27925A5B">
      <w:pPr>
        <w:pStyle w:val="60"/>
        <w:ind w:firstLine="420"/>
      </w:pPr>
      <w:r>
        <w:rPr>
          <w:rFonts w:hint="eastAsia"/>
        </w:rPr>
        <w:t>[4</w:t>
      </w:r>
      <w:r>
        <w:t>] LY/T2180-2013</w:t>
      </w:r>
      <w:r>
        <w:rPr>
          <w:rFonts w:hint="eastAsia"/>
        </w:rPr>
        <w:t>森林火灾信息分类与代码</w:t>
      </w:r>
    </w:p>
    <w:p w14:paraId="34A1125A">
      <w:pPr>
        <w:pStyle w:val="60"/>
        <w:ind w:firstLine="420"/>
      </w:pPr>
      <w:r>
        <w:rPr>
          <w:rFonts w:hint="eastAsia"/>
        </w:rPr>
        <w:t>[5</w:t>
      </w:r>
      <w:r>
        <w:t>] LY/T2581-2016</w:t>
      </w:r>
      <w:r>
        <w:rPr>
          <w:rFonts w:hint="eastAsia"/>
        </w:rPr>
        <w:t>森林防火视频监控系统技术规范</w:t>
      </w:r>
    </w:p>
    <w:p w14:paraId="2249D080">
      <w:pPr>
        <w:pStyle w:val="60"/>
        <w:ind w:firstLine="420"/>
      </w:pPr>
      <w:r>
        <w:rPr>
          <w:rFonts w:hint="eastAsia"/>
        </w:rPr>
        <w:t>[6</w:t>
      </w:r>
      <w:r>
        <w:t xml:space="preserve">] </w:t>
      </w:r>
      <w:r>
        <w:rPr>
          <w:rFonts w:hint="eastAsia"/>
        </w:rPr>
        <w:t>国家森林草原防灭火指挥部.《扑救森林草原火灾现场指挥机制》（国森防发〔2021〕1号）[S].2021.</w:t>
      </w:r>
    </w:p>
    <w:p w14:paraId="04D0951F">
      <w:pPr>
        <w:pStyle w:val="60"/>
        <w:ind w:firstLine="420"/>
      </w:pPr>
      <w:r>
        <w:rPr>
          <w:rFonts w:hint="eastAsia"/>
        </w:rPr>
        <w:t>[7</w:t>
      </w:r>
      <w:r>
        <w:t xml:space="preserve">] </w:t>
      </w:r>
      <w:r>
        <w:rPr>
          <w:rFonts w:hint="eastAsia"/>
        </w:rPr>
        <w:t>中共中央办公厅、国务院办公厅.《关于全面加强新形势下森林草原防灭火工作的意见》（中办发〔2022〕60号）[S].2022</w:t>
      </w:r>
    </w:p>
    <w:p w14:paraId="50F578D6">
      <w:pPr>
        <w:pStyle w:val="60"/>
        <w:ind w:firstLine="420"/>
      </w:pPr>
      <w:r>
        <w:rPr>
          <w:rFonts w:hint="eastAsia"/>
        </w:rPr>
        <w:t>[8] 王慧彦, 刘晓海. 突发事件应急术语实用手册：通用篇[M]. 应急管理出版社, 2025.</w:t>
      </w:r>
    </w:p>
    <w:p w14:paraId="74299AE2">
      <w:pPr>
        <w:pStyle w:val="60"/>
        <w:ind w:firstLine="420"/>
      </w:pPr>
    </w:p>
    <w:p w14:paraId="7B27B494">
      <w:pPr>
        <w:pStyle w:val="60"/>
        <w:ind w:firstLine="420"/>
      </w:pPr>
    </w:p>
    <w:bookmarkEnd w:id="195"/>
    <w:p w14:paraId="3D4781EF">
      <w:pPr>
        <w:pStyle w:val="60"/>
        <w:ind w:firstLine="420"/>
      </w:pPr>
    </w:p>
    <w:p w14:paraId="7B508483">
      <w:pPr>
        <w:tabs>
          <w:tab w:val="left" w:pos="1320"/>
        </w:tabs>
        <w:jc w:val="center"/>
      </w:pPr>
      <w:bookmarkStart w:id="196" w:name="BookMark8"/>
      <w:r>
        <w:drawing>
          <wp:inline distT="0" distB="0" distL="0" distR="0">
            <wp:extent cx="1485900" cy="317500"/>
            <wp:effectExtent l="0" t="0" r="0" b="6350"/>
            <wp:docPr id="3" name="图片 3"/>
            <wp:cNvGraphicFramePr/>
            <a:graphic xmlns:a="http://schemas.openxmlformats.org/drawingml/2006/main">
              <a:graphicData uri="http://schemas.openxmlformats.org/drawingml/2006/picture">
                <pic:pic xmlns:pic="http://schemas.openxmlformats.org/drawingml/2006/picture">
                  <pic:nvPicPr>
                    <pic:cNvPr id="3" name="图片 3"/>
                    <pic:cNvPicPr/>
                  </pic:nvPicPr>
                  <pic:blipFill>
                    <a:blip r:embed="rId19"/>
                    <a:stretch>
                      <a:fillRect/>
                    </a:stretch>
                  </pic:blipFill>
                  <pic:spPr>
                    <a:xfrm>
                      <a:off x="0" y="0"/>
                      <a:ext cx="1485900" cy="317500"/>
                    </a:xfrm>
                    <a:prstGeom prst="rect">
                      <a:avLst/>
                    </a:prstGeom>
                  </pic:spPr>
                </pic:pic>
              </a:graphicData>
            </a:graphic>
          </wp:inline>
        </w:drawing>
      </w:r>
      <w:bookmarkEnd w:id="196"/>
    </w:p>
    <w:sectPr>
      <w:headerReference r:id="rId13" w:type="default"/>
      <w:footerReference r:id="rId15" w:type="default"/>
      <w:headerReference r:id="rId14" w:type="even"/>
      <w:footerReference r:id="rId16" w:type="even"/>
      <w:pgSz w:w="11906" w:h="16838"/>
      <w:pgMar w:top="1928" w:right="1134" w:bottom="1134" w:left="1134" w:header="1418" w:footer="1134" w:gutter="284"/>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swiss"/>
    <w:pitch w:val="default"/>
    <w:sig w:usb0="E0002EFF" w:usb1="C000785B" w:usb2="00000009" w:usb3="00000000" w:csb0="400001FF" w:csb1="FFFF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sans-serif">
    <w:altName w:val="Calibri"/>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C929FA">
    <w:pPr>
      <w:pStyle w:val="18"/>
    </w:pPr>
    <w:r>
      <w:fldChar w:fldCharType="begin"/>
    </w:r>
    <w:r>
      <w:instrText xml:space="preserve">PAGE   \* MERGEFORMAT</w:instrText>
    </w:r>
    <w:r>
      <w:fldChar w:fldCharType="separate"/>
    </w:r>
    <w:r>
      <w:rPr>
        <w:lang w:val="zh-CN"/>
      </w:rPr>
      <w:t>6</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7973FF">
    <w:pPr>
      <w:pStyle w:val="18"/>
      <w:ind w:right="720"/>
      <w:jc w:val="both"/>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0E3328">
    <w:pPr>
      <w:pStyle w:val="56"/>
    </w:pPr>
    <w:r>
      <w:fldChar w:fldCharType="begin"/>
    </w:r>
    <w:r>
      <w:instrText xml:space="preserve">PAGE   \* MERGEFORMAT</w:instrText>
    </w:r>
    <w:r>
      <w:fldChar w:fldCharType="separate"/>
    </w:r>
    <w:r>
      <w:rPr>
        <w:lang w:val="zh-CN"/>
      </w:rPr>
      <w:t>II</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749552">
    <w:pPr>
      <w:pStyle w:val="56"/>
    </w:pPr>
    <w:r>
      <w:fldChar w:fldCharType="begin"/>
    </w:r>
    <w:r>
      <w:instrText xml:space="preserve">PAGE   \* MERGEFORMAT</w:instrText>
    </w:r>
    <w:r>
      <w:fldChar w:fldCharType="separate"/>
    </w:r>
    <w:r>
      <w:rPr>
        <w:lang w:val="zh-CN"/>
      </w:rPr>
      <w:t>II</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3E9AF1">
    <w:pPr>
      <w:pStyle w:val="56"/>
    </w:pPr>
    <w:r>
      <w:fldChar w:fldCharType="begin"/>
    </w:r>
    <w:r>
      <w:instrText xml:space="preserve">PAGE   \* MERGEFORMAT</w:instrText>
    </w:r>
    <w:r>
      <w:fldChar w:fldCharType="separate"/>
    </w:r>
    <w:r>
      <w:rPr>
        <w:lang w:val="zh-CN"/>
      </w:rPr>
      <w:t>14</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26F0E2">
    <w:pPr>
      <w:pStyle w:val="18"/>
    </w:pPr>
    <w:r>
      <w:fldChar w:fldCharType="begin"/>
    </w:r>
    <w:r>
      <w:instrText xml:space="preserve">PAGE   \* MERGEFORMAT</w:instrText>
    </w:r>
    <w:r>
      <w:fldChar w:fldCharType="separate"/>
    </w:r>
    <w:r>
      <w:rPr>
        <w:lang w:val="zh-CN"/>
      </w:rPr>
      <w:t>8</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338DA8">
    <w:pPr>
      <w:pStyle w:val="19"/>
      <w:wordWrap w:val="0"/>
      <w:jc w:val="right"/>
      <w:rPr>
        <w:rFonts w:hint="eastAsia"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702086">
    <w:pPr>
      <w:pStyle w:val="19"/>
      <w:jc w:val="both"/>
      <w:rPr>
        <w:sz w:val="2"/>
        <w:szCs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AEEFD8">
    <w:pPr>
      <w:pStyle w:val="65"/>
      <w:rPr>
        <w:rFonts w:hint="eastAsia"/>
      </w:rPr>
    </w:pPr>
    <w:r>
      <w:fldChar w:fldCharType="begin"/>
    </w:r>
    <w:r>
      <w:instrText xml:space="preserve"> STYLEREF  标准文件_文件编号  \* MERGEFORMAT </w:instrText>
    </w:r>
    <w:r>
      <w:fldChar w:fldCharType="separate"/>
    </w:r>
    <w:r>
      <w:t>T/CAPSA XXXX—XXXX</w:t>
    </w:r>
    <w: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0A3D28">
    <w:pPr>
      <w:pStyle w:val="19"/>
      <w:jc w:val="right"/>
    </w:pPr>
    <w:r>
      <w:fldChar w:fldCharType="begin"/>
    </w:r>
    <w:r>
      <w:instrText xml:space="preserve"> STYLEREF  标准文件_文件编号  \* MERGEFORMAT </w:instrText>
    </w:r>
    <w:r>
      <w:fldChar w:fldCharType="separate"/>
    </w:r>
    <w:r>
      <w:t>T/CAPSA XXXX—XXXX</w:t>
    </w:r>
    <w:r>
      <w:fldChar w:fldCharType="end"/>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EF0719">
    <w:pPr>
      <w:pStyle w:val="65"/>
      <w:rPr>
        <w:rFonts w:hint="eastAsia"/>
      </w:rPr>
    </w:pPr>
    <w:r>
      <w:fldChar w:fldCharType="begin"/>
    </w:r>
    <w:r>
      <w:instrText xml:space="preserve"> STYLEREF  标准文件_文件编号  \* MERGEFORMAT </w:instrText>
    </w:r>
    <w:r>
      <w:fldChar w:fldCharType="separate"/>
    </w:r>
    <w:r>
      <w:t>T/CAPSA XXXX—XXXX</w:t>
    </w:r>
    <w:r>
      <w:fldChar w:fldCharType="end"/>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7B09B5">
    <w:pPr>
      <w:pStyle w:val="19"/>
      <w:jc w:val="right"/>
    </w:pPr>
    <w:r>
      <w:fldChar w:fldCharType="begin"/>
    </w:r>
    <w:r>
      <w:instrText xml:space="preserve"> STYLEREF  标准文件_文件编号  \* MERGEFORMAT </w:instrText>
    </w:r>
    <w:r>
      <w:fldChar w:fldCharType="separate"/>
    </w:r>
    <w:r>
      <w:t>T/CAPSA XXXX—XXXX</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837933"/>
    <w:multiLevelType w:val="multilevel"/>
    <w:tmpl w:val="02837933"/>
    <w:lvl w:ilvl="0" w:tentative="0">
      <w:start w:val="1"/>
      <w:numFmt w:val="decimal"/>
      <w:pStyle w:val="68"/>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1">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63"/>
      <w:suff w:val="nothing"/>
      <w:lvlText w:val="%1%2.%3　"/>
      <w:lvlJc w:val="left"/>
      <w:pPr>
        <w:ind w:left="0" w:firstLine="0"/>
      </w:pPr>
    </w:lvl>
    <w:lvl w:ilvl="3" w:tentative="0">
      <w:start w:val="1"/>
      <w:numFmt w:val="decimal"/>
      <w:pStyle w:val="122"/>
      <w:suff w:val="nothing"/>
      <w:lvlText w:val="%1%2.%3.%4　"/>
      <w:lvlJc w:val="left"/>
      <w:pPr>
        <w:ind w:left="0" w:firstLine="0"/>
      </w:pPr>
    </w:lvl>
    <w:lvl w:ilvl="4" w:tentative="0">
      <w:start w:val="1"/>
      <w:numFmt w:val="decimal"/>
      <w:pStyle w:val="157"/>
      <w:suff w:val="nothing"/>
      <w:lvlText w:val="%1%2.%3.%4.%5　"/>
      <w:lvlJc w:val="left"/>
      <w:pPr>
        <w:ind w:left="0" w:firstLine="0"/>
      </w:pPr>
    </w:lvl>
    <w:lvl w:ilvl="5" w:tentative="0">
      <w:start w:val="1"/>
      <w:numFmt w:val="decimal"/>
      <w:pStyle w:val="159"/>
      <w:suff w:val="nothing"/>
      <w:lvlText w:val="%1%2.%3.%4.%5.%6　"/>
      <w:lvlJc w:val="left"/>
      <w:pPr>
        <w:ind w:left="0" w:firstLine="0"/>
      </w:pPr>
    </w:lvl>
    <w:lvl w:ilvl="6" w:tentative="0">
      <w:start w:val="1"/>
      <w:numFmt w:val="decimal"/>
      <w:pStyle w:val="162"/>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
    <w:nsid w:val="079102AD"/>
    <w:multiLevelType w:val="multilevel"/>
    <w:tmpl w:val="079102AD"/>
    <w:lvl w:ilvl="0" w:tentative="0">
      <w:start w:val="1"/>
      <w:numFmt w:val="decimal"/>
      <w:pStyle w:val="184"/>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3">
    <w:nsid w:val="07ED3FEA"/>
    <w:multiLevelType w:val="multilevel"/>
    <w:tmpl w:val="07ED3FEA"/>
    <w:lvl w:ilvl="0" w:tentative="0">
      <w:start w:val="1"/>
      <w:numFmt w:val="none"/>
      <w:pStyle w:val="93"/>
      <w:lvlText w:val="%1"/>
      <w:lvlJc w:val="left"/>
      <w:pPr>
        <w:ind w:left="425" w:hanging="425"/>
      </w:pPr>
      <w:rPr>
        <w:rFonts w:hint="eastAsia"/>
      </w:rPr>
    </w:lvl>
    <w:lvl w:ilvl="1" w:tentative="0">
      <w:start w:val="1"/>
      <w:numFmt w:val="decimal"/>
      <w:pStyle w:val="204"/>
      <w:suff w:val="nothing"/>
      <w:lvlText w:val="%10.%2 "/>
      <w:lvlJc w:val="left"/>
      <w:pPr>
        <w:ind w:left="0" w:firstLine="0"/>
      </w:pPr>
      <w:rPr>
        <w:rFonts w:hint="eastAsia" w:ascii="黑体" w:eastAsia="黑体" w:hAnsiTheme="minorHAnsi"/>
        <w:b w:val="0"/>
        <w:i w:val="0"/>
        <w:sz w:val="21"/>
      </w:rPr>
    </w:lvl>
    <w:lvl w:ilvl="2" w:tentative="0">
      <w:start w:val="1"/>
      <w:numFmt w:val="decimal"/>
      <w:pStyle w:val="205"/>
      <w:suff w:val="nothing"/>
      <w:lvlText w:val="%10.%2.%3 "/>
      <w:lvlJc w:val="left"/>
      <w:pPr>
        <w:ind w:left="0" w:firstLine="0"/>
      </w:pPr>
      <w:rPr>
        <w:rFonts w:hint="eastAsia" w:ascii="黑体" w:eastAsia="黑体" w:hAnsiTheme="minorHAnsi"/>
        <w:b w:val="0"/>
        <w:i w:val="0"/>
        <w:sz w:val="21"/>
      </w:rPr>
    </w:lvl>
    <w:lvl w:ilvl="3" w:tentative="0">
      <w:start w:val="1"/>
      <w:numFmt w:val="decimal"/>
      <w:pStyle w:val="206"/>
      <w:suff w:val="nothing"/>
      <w:lvlText w:val="%10.%2.%3.%4 "/>
      <w:lvlJc w:val="left"/>
      <w:pPr>
        <w:ind w:left="0" w:firstLine="0"/>
      </w:pPr>
      <w:rPr>
        <w:rFonts w:hint="eastAsia" w:ascii="黑体" w:eastAsia="黑体" w:hAnsiTheme="minorHAnsi"/>
        <w:b w:val="0"/>
        <w:i w:val="0"/>
        <w:sz w:val="21"/>
      </w:rPr>
    </w:lvl>
    <w:lvl w:ilvl="4" w:tentative="0">
      <w:start w:val="1"/>
      <w:numFmt w:val="decimal"/>
      <w:pStyle w:val="207"/>
      <w:suff w:val="nothing"/>
      <w:lvlText w:val="%10.%2.%3.%4.%5 "/>
      <w:lvlJc w:val="left"/>
      <w:pPr>
        <w:ind w:left="0" w:firstLine="0"/>
      </w:pPr>
      <w:rPr>
        <w:rFonts w:hint="eastAsia" w:ascii="黑体" w:eastAsia="黑体" w:hAnsiTheme="minorHAnsi"/>
        <w:b w:val="0"/>
        <w:i w:val="0"/>
        <w:sz w:val="21"/>
      </w:rPr>
    </w:lvl>
    <w:lvl w:ilvl="5" w:tentative="0">
      <w:start w:val="1"/>
      <w:numFmt w:val="decimal"/>
      <w:pStyle w:val="208"/>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4">
    <w:nsid w:val="0AE367E9"/>
    <w:multiLevelType w:val="multilevel"/>
    <w:tmpl w:val="0AE367E9"/>
    <w:lvl w:ilvl="0" w:tentative="0">
      <w:start w:val="1"/>
      <w:numFmt w:val="none"/>
      <w:pStyle w:val="185"/>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5">
    <w:nsid w:val="0BDC1670"/>
    <w:multiLevelType w:val="multilevel"/>
    <w:tmpl w:val="0BDC1670"/>
    <w:lvl w:ilvl="0" w:tentative="0">
      <w:start w:val="1"/>
      <w:numFmt w:val="decimal"/>
      <w:pStyle w:val="71"/>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0D051F45"/>
    <w:multiLevelType w:val="multilevel"/>
    <w:tmpl w:val="0D051F45"/>
    <w:lvl w:ilvl="0" w:tentative="0">
      <w:start w:val="1"/>
      <w:numFmt w:val="lowerRoman"/>
      <w:pStyle w:val="173"/>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7">
    <w:nsid w:val="1AD20F90"/>
    <w:multiLevelType w:val="multilevel"/>
    <w:tmpl w:val="1AD20F90"/>
    <w:lvl w:ilvl="0" w:tentative="0">
      <w:start w:val="1"/>
      <w:numFmt w:val="none"/>
      <w:pStyle w:val="114"/>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1AF15012"/>
    <w:multiLevelType w:val="multilevel"/>
    <w:tmpl w:val="1AF15012"/>
    <w:lvl w:ilvl="0" w:tentative="0">
      <w:start w:val="1"/>
      <w:numFmt w:val="upperLetter"/>
      <w:pStyle w:val="89"/>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9">
    <w:nsid w:val="1EAA1992"/>
    <w:multiLevelType w:val="multilevel"/>
    <w:tmpl w:val="1EAA1992"/>
    <w:lvl w:ilvl="0" w:tentative="0">
      <w:start w:val="1"/>
      <w:numFmt w:val="none"/>
      <w:pStyle w:val="96"/>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0">
    <w:nsid w:val="2C5917C3"/>
    <w:multiLevelType w:val="multilevel"/>
    <w:tmpl w:val="2C5917C3"/>
    <w:lvl w:ilvl="0" w:tentative="0">
      <w:start w:val="1"/>
      <w:numFmt w:val="none"/>
      <w:pStyle w:val="136"/>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91"/>
      <w:lvlText w:val=""/>
      <w:lvlJc w:val="left"/>
      <w:pPr>
        <w:ind w:left="851" w:hanging="431"/>
      </w:pPr>
      <w:rPr>
        <w:rFonts w:hint="default" w:ascii="Symbol" w:hAnsi="Symbol"/>
        <w:sz w:val="21"/>
      </w:rPr>
    </w:lvl>
    <w:lvl w:ilvl="2" w:tentative="0">
      <w:start w:val="1"/>
      <w:numFmt w:val="bullet"/>
      <w:pStyle w:val="176"/>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1">
    <w:nsid w:val="32F04FB2"/>
    <w:multiLevelType w:val="multilevel"/>
    <w:tmpl w:val="32F04FB2"/>
    <w:lvl w:ilvl="0" w:tentative="0">
      <w:start w:val="1"/>
      <w:numFmt w:val="lowerLetter"/>
      <w:pStyle w:val="105"/>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2">
    <w:nsid w:val="44C50F90"/>
    <w:multiLevelType w:val="multilevel"/>
    <w:tmpl w:val="44C50F90"/>
    <w:lvl w:ilvl="0" w:tentative="0">
      <w:start w:val="1"/>
      <w:numFmt w:val="lowerLetter"/>
      <w:pStyle w:val="178"/>
      <w:lvlText w:val="%1)"/>
      <w:lvlJc w:val="left"/>
      <w:pPr>
        <w:tabs>
          <w:tab w:val="left" w:pos="851"/>
        </w:tabs>
        <w:ind w:left="851" w:hanging="426"/>
      </w:pPr>
      <w:rPr>
        <w:rFonts w:hint="eastAsia" w:ascii="宋体" w:hAnsi="Times New Roman" w:eastAsia="宋体"/>
        <w:sz w:val="21"/>
      </w:rPr>
    </w:lvl>
    <w:lvl w:ilvl="1" w:tentative="0">
      <w:start w:val="1"/>
      <w:numFmt w:val="decimal"/>
      <w:pStyle w:val="113"/>
      <w:lvlText w:val="%2)"/>
      <w:lvlJc w:val="left"/>
      <w:pPr>
        <w:tabs>
          <w:tab w:val="left" w:pos="1276"/>
        </w:tabs>
        <w:ind w:left="1276" w:hanging="425"/>
      </w:pPr>
      <w:rPr>
        <w:rFonts w:hint="eastAsia" w:ascii="宋体" w:hAnsi="Times New Roman" w:eastAsia="宋体"/>
        <w:sz w:val="21"/>
      </w:rPr>
    </w:lvl>
    <w:lvl w:ilvl="2" w:tentative="0">
      <w:start w:val="1"/>
      <w:numFmt w:val="decimal"/>
      <w:pStyle w:val="121"/>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3">
    <w:nsid w:val="48802D1C"/>
    <w:multiLevelType w:val="multilevel"/>
    <w:tmpl w:val="48802D1C"/>
    <w:lvl w:ilvl="0" w:tentative="0">
      <w:start w:val="1"/>
      <w:numFmt w:val="upperLetter"/>
      <w:pStyle w:val="202"/>
      <w:lvlText w:val="%1"/>
      <w:lvlJc w:val="left"/>
      <w:pPr>
        <w:ind w:left="420" w:hanging="420"/>
      </w:pPr>
      <w:rPr>
        <w:rFonts w:hint="eastAsia"/>
      </w:rPr>
    </w:lvl>
    <w:lvl w:ilvl="1" w:tentative="0">
      <w:start w:val="1"/>
      <w:numFmt w:val="decimal"/>
      <w:pStyle w:val="87"/>
      <w:suff w:val="space"/>
      <w:lvlText w:val="图%1.%2"/>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4">
    <w:nsid w:val="4B733A5F"/>
    <w:multiLevelType w:val="multilevel"/>
    <w:tmpl w:val="4B733A5F"/>
    <w:lvl w:ilvl="0" w:tentative="0">
      <w:start w:val="1"/>
      <w:numFmt w:val="decimal"/>
      <w:pStyle w:val="187"/>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5">
    <w:nsid w:val="4E5D0534"/>
    <w:multiLevelType w:val="multilevel"/>
    <w:tmpl w:val="4E5D0534"/>
    <w:lvl w:ilvl="0" w:tentative="0">
      <w:start w:val="1"/>
      <w:numFmt w:val="decimal"/>
      <w:pStyle w:val="120"/>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6">
    <w:nsid w:val="54632751"/>
    <w:multiLevelType w:val="multilevel"/>
    <w:tmpl w:val="54632751"/>
    <w:lvl w:ilvl="0" w:tentative="0">
      <w:start w:val="1"/>
      <w:numFmt w:val="none"/>
      <w:pStyle w:val="97"/>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7">
    <w:nsid w:val="557C2AF5"/>
    <w:multiLevelType w:val="multilevel"/>
    <w:tmpl w:val="557C2AF5"/>
    <w:lvl w:ilvl="0" w:tentative="0">
      <w:start w:val="1"/>
      <w:numFmt w:val="decimal"/>
      <w:pStyle w:val="118"/>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8">
    <w:nsid w:val="5603797C"/>
    <w:multiLevelType w:val="multilevel"/>
    <w:tmpl w:val="5603797C"/>
    <w:lvl w:ilvl="0" w:tentative="0">
      <w:start w:val="1"/>
      <w:numFmt w:val="upperLetter"/>
      <w:pStyle w:val="203"/>
      <w:suff w:val="space"/>
      <w:lvlText w:val="%1"/>
      <w:lvlJc w:val="left"/>
      <w:pPr>
        <w:ind w:left="425" w:hanging="425"/>
      </w:pPr>
      <w:rPr>
        <w:rFonts w:hint="eastAsia"/>
      </w:rPr>
    </w:lvl>
    <w:lvl w:ilvl="1" w:tentative="0">
      <w:start w:val="1"/>
      <w:numFmt w:val="decimal"/>
      <w:pStyle w:val="81"/>
      <w:suff w:val="space"/>
      <w:lvlText w:val="表%1.%2"/>
      <w:lvlJc w:val="center"/>
      <w:pPr>
        <w:ind w:left="0" w:firstLine="0"/>
      </w:pPr>
      <w:rPr>
        <w:rFonts w:hint="eastAsia" w:ascii="黑体" w:eastAsia="黑体"/>
        <w:sz w:val="21"/>
        <w:lang w:val="en-US"/>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9">
    <w:nsid w:val="564D2089"/>
    <w:multiLevelType w:val="multilevel"/>
    <w:tmpl w:val="564D2089"/>
    <w:lvl w:ilvl="0" w:tentative="0">
      <w:start w:val="1"/>
      <w:numFmt w:val="none"/>
      <w:pStyle w:val="115"/>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644622F9"/>
    <w:multiLevelType w:val="multilevel"/>
    <w:tmpl w:val="644622F9"/>
    <w:lvl w:ilvl="0" w:tentative="0">
      <w:start w:val="1"/>
      <w:numFmt w:val="upperRoman"/>
      <w:pStyle w:val="172"/>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1">
    <w:nsid w:val="646260FA"/>
    <w:multiLevelType w:val="multilevel"/>
    <w:tmpl w:val="646260FA"/>
    <w:lvl w:ilvl="0" w:tentative="0">
      <w:start w:val="1"/>
      <w:numFmt w:val="decimal"/>
      <w:pStyle w:val="116"/>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2">
    <w:nsid w:val="654A26C9"/>
    <w:multiLevelType w:val="multilevel"/>
    <w:tmpl w:val="654A26C9"/>
    <w:lvl w:ilvl="0" w:tentative="0">
      <w:start w:val="1"/>
      <w:numFmt w:val="none"/>
      <w:pStyle w:val="193"/>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3">
    <w:nsid w:val="657D3FBC"/>
    <w:multiLevelType w:val="multilevel"/>
    <w:tmpl w:val="657D3FBC"/>
    <w:lvl w:ilvl="0" w:tentative="0">
      <w:start w:val="1"/>
      <w:numFmt w:val="upperLetter"/>
      <w:pStyle w:val="80"/>
      <w:suff w:val="nothing"/>
      <w:lvlText w:val="附录%1"/>
      <w:lvlJc w:val="left"/>
      <w:pPr>
        <w:ind w:left="0" w:firstLine="0"/>
      </w:pPr>
      <w:rPr>
        <w:rFonts w:hint="eastAsia"/>
        <w:spacing w:val="100"/>
      </w:rPr>
    </w:lvl>
    <w:lvl w:ilvl="1" w:tentative="0">
      <w:start w:val="1"/>
      <w:numFmt w:val="decimal"/>
      <w:pStyle w:val="82"/>
      <w:suff w:val="nothing"/>
      <w:lvlText w:val="%1.%2　"/>
      <w:lvlJc w:val="left"/>
      <w:pPr>
        <w:ind w:left="0" w:firstLine="0"/>
      </w:pPr>
      <w:rPr>
        <w:rFonts w:hint="eastAsia" w:ascii="黑体" w:eastAsia="黑体"/>
        <w:b w:val="0"/>
        <w:i w:val="0"/>
        <w:sz w:val="21"/>
      </w:rPr>
    </w:lvl>
    <w:lvl w:ilvl="2" w:tentative="0">
      <w:start w:val="1"/>
      <w:numFmt w:val="decimal"/>
      <w:pStyle w:val="83"/>
      <w:suff w:val="nothing"/>
      <w:lvlText w:val="%1.%2.%3　"/>
      <w:lvlJc w:val="left"/>
      <w:pPr>
        <w:ind w:left="0" w:firstLine="0"/>
      </w:pPr>
      <w:rPr>
        <w:rFonts w:hint="eastAsia" w:ascii="黑体" w:eastAsia="黑体"/>
        <w:b w:val="0"/>
        <w:i w:val="0"/>
        <w:sz w:val="21"/>
      </w:rPr>
    </w:lvl>
    <w:lvl w:ilvl="3" w:tentative="0">
      <w:start w:val="1"/>
      <w:numFmt w:val="decimal"/>
      <w:pStyle w:val="85"/>
      <w:suff w:val="nothing"/>
      <w:lvlText w:val="%1.%2.%3.%4　"/>
      <w:lvlJc w:val="left"/>
      <w:pPr>
        <w:ind w:left="0" w:firstLine="0"/>
      </w:pPr>
      <w:rPr>
        <w:rFonts w:hint="eastAsia" w:ascii="黑体" w:eastAsia="黑体"/>
        <w:b w:val="0"/>
        <w:i w:val="0"/>
        <w:sz w:val="21"/>
      </w:rPr>
    </w:lvl>
    <w:lvl w:ilvl="4" w:tentative="0">
      <w:start w:val="1"/>
      <w:numFmt w:val="decimal"/>
      <w:pStyle w:val="86"/>
      <w:suff w:val="nothing"/>
      <w:lvlText w:val="%1.%2.%3.%4.%5　"/>
      <w:lvlJc w:val="left"/>
      <w:pPr>
        <w:ind w:left="0" w:firstLine="0"/>
      </w:pPr>
      <w:rPr>
        <w:rFonts w:hint="eastAsia" w:ascii="黑体" w:eastAsia="黑体"/>
        <w:b w:val="0"/>
        <w:i w:val="0"/>
        <w:sz w:val="21"/>
      </w:rPr>
    </w:lvl>
    <w:lvl w:ilvl="5" w:tentative="0">
      <w:start w:val="1"/>
      <w:numFmt w:val="decimal"/>
      <w:pStyle w:val="88"/>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4">
    <w:nsid w:val="69506ABF"/>
    <w:multiLevelType w:val="multilevel"/>
    <w:tmpl w:val="69506ABF"/>
    <w:lvl w:ilvl="0" w:tentative="0">
      <w:start w:val="1"/>
      <w:numFmt w:val="bullet"/>
      <w:pStyle w:val="192"/>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5">
    <w:nsid w:val="6CA41985"/>
    <w:multiLevelType w:val="multilevel"/>
    <w:tmpl w:val="6CA41985"/>
    <w:lvl w:ilvl="0" w:tentative="0">
      <w:start w:val="1"/>
      <w:numFmt w:val="decimal"/>
      <w:pStyle w:val="101"/>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6">
    <w:nsid w:val="6CE42AC1"/>
    <w:multiLevelType w:val="multilevel"/>
    <w:tmpl w:val="6CE42AC1"/>
    <w:lvl w:ilvl="0" w:tentative="0">
      <w:start w:val="1"/>
      <w:numFmt w:val="lowerLetter"/>
      <w:pStyle w:val="177"/>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7">
    <w:nsid w:val="6CEA2025"/>
    <w:multiLevelType w:val="multilevel"/>
    <w:tmpl w:val="6CEA2025"/>
    <w:lvl w:ilvl="0" w:tentative="0">
      <w:start w:val="1"/>
      <w:numFmt w:val="none"/>
      <w:pStyle w:val="156"/>
      <w:suff w:val="nothing"/>
      <w:lvlText w:val="%1"/>
      <w:lvlJc w:val="left"/>
      <w:pPr>
        <w:ind w:left="0" w:firstLine="0"/>
      </w:pPr>
      <w:rPr>
        <w:rFonts w:hint="eastAsia"/>
      </w:rPr>
    </w:lvl>
    <w:lvl w:ilvl="1" w:tentative="0">
      <w:start w:val="1"/>
      <w:numFmt w:val="decimal"/>
      <w:pStyle w:val="108"/>
      <w:suff w:val="nothing"/>
      <w:lvlText w:val="%1%2　"/>
      <w:lvlJc w:val="left"/>
      <w:pPr>
        <w:ind w:left="0" w:firstLine="0"/>
      </w:pPr>
      <w:rPr>
        <w:rFonts w:hint="eastAsia" w:ascii="黑体" w:eastAsia="黑体"/>
        <w:b w:val="0"/>
        <w:i w:val="0"/>
        <w:sz w:val="21"/>
      </w:rPr>
    </w:lvl>
    <w:lvl w:ilvl="2" w:tentative="0">
      <w:start w:val="1"/>
      <w:numFmt w:val="decimal"/>
      <w:pStyle w:val="109"/>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rPr>
    </w:lvl>
    <w:lvl w:ilvl="3" w:tentative="0">
      <w:start w:val="1"/>
      <w:numFmt w:val="decimal"/>
      <w:pStyle w:val="69"/>
      <w:suff w:val="nothing"/>
      <w:lvlText w:val="%1%2.%3.%4　"/>
      <w:lvlJc w:val="left"/>
      <w:pPr>
        <w:ind w:left="568" w:firstLine="0"/>
      </w:pPr>
      <w:rPr>
        <w:rFonts w:hint="eastAsia" w:ascii="黑体" w:eastAsia="黑体"/>
        <w:b w:val="0"/>
        <w:i w:val="0"/>
        <w:sz w:val="21"/>
      </w:rPr>
    </w:lvl>
    <w:lvl w:ilvl="4" w:tentative="0">
      <w:start w:val="1"/>
      <w:numFmt w:val="decimal"/>
      <w:pStyle w:val="98"/>
      <w:suff w:val="nothing"/>
      <w:lvlText w:val="%1%2.%3.%4.%5　"/>
      <w:lvlJc w:val="left"/>
      <w:pPr>
        <w:ind w:left="0" w:firstLine="0"/>
      </w:pPr>
      <w:rPr>
        <w:rFonts w:hint="eastAsia" w:ascii="黑体" w:eastAsia="黑体"/>
        <w:b w:val="0"/>
        <w:i w:val="0"/>
        <w:sz w:val="21"/>
      </w:rPr>
    </w:lvl>
    <w:lvl w:ilvl="5" w:tentative="0">
      <w:start w:val="1"/>
      <w:numFmt w:val="decimal"/>
      <w:pStyle w:val="102"/>
      <w:suff w:val="nothing"/>
      <w:lvlText w:val="%1%2.%3.%4.%5.%6　"/>
      <w:lvlJc w:val="left"/>
      <w:pPr>
        <w:ind w:left="0" w:firstLine="0"/>
      </w:pPr>
      <w:rPr>
        <w:rFonts w:hint="eastAsia" w:ascii="黑体" w:eastAsia="黑体"/>
        <w:b w:val="0"/>
        <w:i w:val="0"/>
        <w:sz w:val="21"/>
      </w:rPr>
    </w:lvl>
    <w:lvl w:ilvl="6" w:tentative="0">
      <w:start w:val="1"/>
      <w:numFmt w:val="decimal"/>
      <w:pStyle w:val="107"/>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8">
    <w:nsid w:val="6DBF04F4"/>
    <w:multiLevelType w:val="multilevel"/>
    <w:tmpl w:val="6DBF04F4"/>
    <w:lvl w:ilvl="0" w:tentative="0">
      <w:start w:val="1"/>
      <w:numFmt w:val="none"/>
      <w:pStyle w:val="183"/>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29">
    <w:nsid w:val="6DF35F19"/>
    <w:multiLevelType w:val="multilevel"/>
    <w:tmpl w:val="6DF35F19"/>
    <w:lvl w:ilvl="0" w:tentative="0">
      <w:start w:val="1"/>
      <w:numFmt w:val="decimal"/>
      <w:pStyle w:val="119"/>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0">
    <w:nsid w:val="76933334"/>
    <w:multiLevelType w:val="multilevel"/>
    <w:tmpl w:val="76933334"/>
    <w:lvl w:ilvl="0" w:tentative="0">
      <w:start w:val="1"/>
      <w:numFmt w:val="none"/>
      <w:pStyle w:val="143"/>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 w:numId="2">
    <w:abstractNumId w:val="27"/>
  </w:num>
  <w:num w:numId="3">
    <w:abstractNumId w:val="5"/>
  </w:num>
  <w:num w:numId="4">
    <w:abstractNumId w:val="23"/>
  </w:num>
  <w:num w:numId="5">
    <w:abstractNumId w:val="18"/>
  </w:num>
  <w:num w:numId="6">
    <w:abstractNumId w:val="13"/>
  </w:num>
  <w:num w:numId="7">
    <w:abstractNumId w:val="8"/>
  </w:num>
  <w:num w:numId="8">
    <w:abstractNumId w:val="3"/>
  </w:num>
  <w:num w:numId="9">
    <w:abstractNumId w:val="9"/>
  </w:num>
  <w:num w:numId="10">
    <w:abstractNumId w:val="16"/>
  </w:num>
  <w:num w:numId="11">
    <w:abstractNumId w:val="25"/>
  </w:num>
  <w:num w:numId="12">
    <w:abstractNumId w:val="11"/>
  </w:num>
  <w:num w:numId="13">
    <w:abstractNumId w:val="12"/>
  </w:num>
  <w:num w:numId="14">
    <w:abstractNumId w:val="7"/>
  </w:num>
  <w:num w:numId="15">
    <w:abstractNumId w:val="19"/>
  </w:num>
  <w:num w:numId="16">
    <w:abstractNumId w:val="21"/>
  </w:num>
  <w:num w:numId="17">
    <w:abstractNumId w:val="17"/>
  </w:num>
  <w:num w:numId="18">
    <w:abstractNumId w:val="29"/>
  </w:num>
  <w:num w:numId="19">
    <w:abstractNumId w:val="15"/>
  </w:num>
  <w:num w:numId="20">
    <w:abstractNumId w:val="1"/>
  </w:num>
  <w:num w:numId="21">
    <w:abstractNumId w:val="10"/>
  </w:num>
  <w:num w:numId="22">
    <w:abstractNumId w:val="30"/>
  </w:num>
  <w:num w:numId="23">
    <w:abstractNumId w:val="20"/>
  </w:num>
  <w:num w:numId="24">
    <w:abstractNumId w:val="6"/>
  </w:num>
  <w:num w:numId="25">
    <w:abstractNumId w:val="26"/>
  </w:num>
  <w:num w:numId="26">
    <w:abstractNumId w:val="28"/>
  </w:num>
  <w:num w:numId="27">
    <w:abstractNumId w:val="2"/>
  </w:num>
  <w:num w:numId="28">
    <w:abstractNumId w:val="4"/>
  </w:num>
  <w:num w:numId="29">
    <w:abstractNumId w:val="14"/>
  </w:num>
  <w:num w:numId="30">
    <w:abstractNumId w:val="24"/>
  </w:num>
  <w:num w:numId="3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attachedTemplate r:id="rId1"/>
  <w:documentProtection w:edit="forms"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zc4ZmRhMjdiZDg1YTg1Nzg1MjY1OTVlZGYyMmU4ZmUifQ=="/>
  </w:docVars>
  <w:rsids>
    <w:rsidRoot w:val="0095164D"/>
    <w:rsid w:val="0000040A"/>
    <w:rsid w:val="00000A94"/>
    <w:rsid w:val="00001748"/>
    <w:rsid w:val="00001972"/>
    <w:rsid w:val="00001D9A"/>
    <w:rsid w:val="0000523A"/>
    <w:rsid w:val="000079DB"/>
    <w:rsid w:val="00007B3A"/>
    <w:rsid w:val="000107E0"/>
    <w:rsid w:val="00011FDE"/>
    <w:rsid w:val="00012FFD"/>
    <w:rsid w:val="00014162"/>
    <w:rsid w:val="00014340"/>
    <w:rsid w:val="00015F31"/>
    <w:rsid w:val="00016A9C"/>
    <w:rsid w:val="00020E00"/>
    <w:rsid w:val="00022184"/>
    <w:rsid w:val="00022762"/>
    <w:rsid w:val="000238E0"/>
    <w:rsid w:val="000249DB"/>
    <w:rsid w:val="00024DE7"/>
    <w:rsid w:val="0002595E"/>
    <w:rsid w:val="000303C3"/>
    <w:rsid w:val="000331D3"/>
    <w:rsid w:val="0003467F"/>
    <w:rsid w:val="000346A5"/>
    <w:rsid w:val="000359C3"/>
    <w:rsid w:val="00035A7D"/>
    <w:rsid w:val="000365ED"/>
    <w:rsid w:val="0004249A"/>
    <w:rsid w:val="00043282"/>
    <w:rsid w:val="00044286"/>
    <w:rsid w:val="00047F28"/>
    <w:rsid w:val="000503AA"/>
    <w:rsid w:val="000506A1"/>
    <w:rsid w:val="000515DD"/>
    <w:rsid w:val="0005265A"/>
    <w:rsid w:val="000539DD"/>
    <w:rsid w:val="00053BD3"/>
    <w:rsid w:val="000556ED"/>
    <w:rsid w:val="00055A80"/>
    <w:rsid w:val="00055FE2"/>
    <w:rsid w:val="0005616F"/>
    <w:rsid w:val="00060C2E"/>
    <w:rsid w:val="00061033"/>
    <w:rsid w:val="000619E9"/>
    <w:rsid w:val="000620AB"/>
    <w:rsid w:val="000622D4"/>
    <w:rsid w:val="00062D61"/>
    <w:rsid w:val="0006357D"/>
    <w:rsid w:val="00064DB7"/>
    <w:rsid w:val="000658B4"/>
    <w:rsid w:val="00067B97"/>
    <w:rsid w:val="00067F1E"/>
    <w:rsid w:val="000702CF"/>
    <w:rsid w:val="00071CC0"/>
    <w:rsid w:val="00071CFC"/>
    <w:rsid w:val="00073C8C"/>
    <w:rsid w:val="00077B64"/>
    <w:rsid w:val="00080A1C"/>
    <w:rsid w:val="00082317"/>
    <w:rsid w:val="00083D2C"/>
    <w:rsid w:val="00086AA1"/>
    <w:rsid w:val="00087A77"/>
    <w:rsid w:val="00090C7F"/>
    <w:rsid w:val="00090CA6"/>
    <w:rsid w:val="00092B8A"/>
    <w:rsid w:val="00092FB0"/>
    <w:rsid w:val="000934C5"/>
    <w:rsid w:val="00093D25"/>
    <w:rsid w:val="00093D3B"/>
    <w:rsid w:val="00093DAB"/>
    <w:rsid w:val="00094D73"/>
    <w:rsid w:val="00096D63"/>
    <w:rsid w:val="00097386"/>
    <w:rsid w:val="000A0B60"/>
    <w:rsid w:val="000A0EB8"/>
    <w:rsid w:val="000A19FC"/>
    <w:rsid w:val="000A296B"/>
    <w:rsid w:val="000A7311"/>
    <w:rsid w:val="000B060F"/>
    <w:rsid w:val="000B0990"/>
    <w:rsid w:val="000B14A2"/>
    <w:rsid w:val="000B1592"/>
    <w:rsid w:val="000B1FF2"/>
    <w:rsid w:val="000B3CDA"/>
    <w:rsid w:val="000B3FA1"/>
    <w:rsid w:val="000B4C60"/>
    <w:rsid w:val="000B60D0"/>
    <w:rsid w:val="000B6A0B"/>
    <w:rsid w:val="000B7476"/>
    <w:rsid w:val="000C0C65"/>
    <w:rsid w:val="000C0F6C"/>
    <w:rsid w:val="000C11DB"/>
    <w:rsid w:val="000C1492"/>
    <w:rsid w:val="000C19D8"/>
    <w:rsid w:val="000C2FBD"/>
    <w:rsid w:val="000C4B41"/>
    <w:rsid w:val="000C57D6"/>
    <w:rsid w:val="000C6362"/>
    <w:rsid w:val="000C7666"/>
    <w:rsid w:val="000D0A9C"/>
    <w:rsid w:val="000D1795"/>
    <w:rsid w:val="000D329A"/>
    <w:rsid w:val="000D4B9C"/>
    <w:rsid w:val="000D4EB6"/>
    <w:rsid w:val="000D753B"/>
    <w:rsid w:val="000E0377"/>
    <w:rsid w:val="000E4C9E"/>
    <w:rsid w:val="000E6FD7"/>
    <w:rsid w:val="000E7144"/>
    <w:rsid w:val="000F0602"/>
    <w:rsid w:val="000F06E1"/>
    <w:rsid w:val="000F0E3C"/>
    <w:rsid w:val="000F19D5"/>
    <w:rsid w:val="000F4050"/>
    <w:rsid w:val="000F4AEA"/>
    <w:rsid w:val="000F63A2"/>
    <w:rsid w:val="000F67E9"/>
    <w:rsid w:val="00104926"/>
    <w:rsid w:val="00111D30"/>
    <w:rsid w:val="00113959"/>
    <w:rsid w:val="00113B1E"/>
    <w:rsid w:val="00115B58"/>
    <w:rsid w:val="0011711C"/>
    <w:rsid w:val="00124E4F"/>
    <w:rsid w:val="001260B7"/>
    <w:rsid w:val="001265CB"/>
    <w:rsid w:val="001321C6"/>
    <w:rsid w:val="001325C4"/>
    <w:rsid w:val="00133010"/>
    <w:rsid w:val="001338EE"/>
    <w:rsid w:val="00133AAE"/>
    <w:rsid w:val="00135323"/>
    <w:rsid w:val="001356C4"/>
    <w:rsid w:val="00137565"/>
    <w:rsid w:val="00141114"/>
    <w:rsid w:val="00141186"/>
    <w:rsid w:val="0014179E"/>
    <w:rsid w:val="00142969"/>
    <w:rsid w:val="001446C2"/>
    <w:rsid w:val="001457E7"/>
    <w:rsid w:val="00145D9D"/>
    <w:rsid w:val="00146388"/>
    <w:rsid w:val="00147B9E"/>
    <w:rsid w:val="001514D7"/>
    <w:rsid w:val="001529E5"/>
    <w:rsid w:val="00152FB3"/>
    <w:rsid w:val="00153C7E"/>
    <w:rsid w:val="0015674C"/>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10E6"/>
    <w:rsid w:val="0017340B"/>
    <w:rsid w:val="00173FB1"/>
    <w:rsid w:val="00176DFD"/>
    <w:rsid w:val="00177A5A"/>
    <w:rsid w:val="0018274C"/>
    <w:rsid w:val="001852C9"/>
    <w:rsid w:val="00187A0B"/>
    <w:rsid w:val="00190087"/>
    <w:rsid w:val="001913C4"/>
    <w:rsid w:val="0019348F"/>
    <w:rsid w:val="00193872"/>
    <w:rsid w:val="00193A07"/>
    <w:rsid w:val="00194C95"/>
    <w:rsid w:val="00195C34"/>
    <w:rsid w:val="00195E3F"/>
    <w:rsid w:val="00196EF5"/>
    <w:rsid w:val="001A1A53"/>
    <w:rsid w:val="001A234A"/>
    <w:rsid w:val="001A2819"/>
    <w:rsid w:val="001A4CF3"/>
    <w:rsid w:val="001A501B"/>
    <w:rsid w:val="001A6696"/>
    <w:rsid w:val="001B022E"/>
    <w:rsid w:val="001B06E8"/>
    <w:rsid w:val="001B3DB7"/>
    <w:rsid w:val="001B6338"/>
    <w:rsid w:val="001B71D0"/>
    <w:rsid w:val="001B71EE"/>
    <w:rsid w:val="001B7838"/>
    <w:rsid w:val="001B794D"/>
    <w:rsid w:val="001C04A8"/>
    <w:rsid w:val="001C2C03"/>
    <w:rsid w:val="001C42F7"/>
    <w:rsid w:val="001C49E5"/>
    <w:rsid w:val="001C680C"/>
    <w:rsid w:val="001C7FEA"/>
    <w:rsid w:val="001D0499"/>
    <w:rsid w:val="001D0988"/>
    <w:rsid w:val="001D0BBE"/>
    <w:rsid w:val="001D0ED4"/>
    <w:rsid w:val="001D212F"/>
    <w:rsid w:val="001D29D7"/>
    <w:rsid w:val="001D2DE7"/>
    <w:rsid w:val="001D411C"/>
    <w:rsid w:val="001E1B6A"/>
    <w:rsid w:val="001E2484"/>
    <w:rsid w:val="001E3CC4"/>
    <w:rsid w:val="001E432F"/>
    <w:rsid w:val="001E4882"/>
    <w:rsid w:val="001E73AB"/>
    <w:rsid w:val="001F092D"/>
    <w:rsid w:val="001F143A"/>
    <w:rsid w:val="001F1605"/>
    <w:rsid w:val="001F2508"/>
    <w:rsid w:val="001F3B24"/>
    <w:rsid w:val="001F4816"/>
    <w:rsid w:val="001F4B4D"/>
    <w:rsid w:val="001F57DF"/>
    <w:rsid w:val="001F6520"/>
    <w:rsid w:val="001F69B4"/>
    <w:rsid w:val="001F77C7"/>
    <w:rsid w:val="00200183"/>
    <w:rsid w:val="00200333"/>
    <w:rsid w:val="00200B4F"/>
    <w:rsid w:val="0020107D"/>
    <w:rsid w:val="00202566"/>
    <w:rsid w:val="00202AA4"/>
    <w:rsid w:val="002031F7"/>
    <w:rsid w:val="002040E6"/>
    <w:rsid w:val="0020527B"/>
    <w:rsid w:val="00205F2C"/>
    <w:rsid w:val="00206C70"/>
    <w:rsid w:val="00207148"/>
    <w:rsid w:val="00210B15"/>
    <w:rsid w:val="002142EA"/>
    <w:rsid w:val="00215ADD"/>
    <w:rsid w:val="00216643"/>
    <w:rsid w:val="002204BB"/>
    <w:rsid w:val="00221B79"/>
    <w:rsid w:val="00221C6B"/>
    <w:rsid w:val="002253A1"/>
    <w:rsid w:val="00225CF8"/>
    <w:rsid w:val="0022794E"/>
    <w:rsid w:val="00232607"/>
    <w:rsid w:val="00233D64"/>
    <w:rsid w:val="0023482A"/>
    <w:rsid w:val="002359CB"/>
    <w:rsid w:val="00243540"/>
    <w:rsid w:val="00243660"/>
    <w:rsid w:val="0024497B"/>
    <w:rsid w:val="0024515B"/>
    <w:rsid w:val="00246021"/>
    <w:rsid w:val="0024666E"/>
    <w:rsid w:val="00247F52"/>
    <w:rsid w:val="00250B25"/>
    <w:rsid w:val="00250BBE"/>
    <w:rsid w:val="002515C2"/>
    <w:rsid w:val="0025194F"/>
    <w:rsid w:val="002522F3"/>
    <w:rsid w:val="00253D9C"/>
    <w:rsid w:val="0026117B"/>
    <w:rsid w:val="0026148A"/>
    <w:rsid w:val="00262696"/>
    <w:rsid w:val="00263D25"/>
    <w:rsid w:val="002643C3"/>
    <w:rsid w:val="00264A0C"/>
    <w:rsid w:val="002656AD"/>
    <w:rsid w:val="00266EEB"/>
    <w:rsid w:val="00267EF4"/>
    <w:rsid w:val="00270CB8"/>
    <w:rsid w:val="002717A4"/>
    <w:rsid w:val="00272B08"/>
    <w:rsid w:val="00280AE4"/>
    <w:rsid w:val="00281BB8"/>
    <w:rsid w:val="00281D2B"/>
    <w:rsid w:val="00281E9E"/>
    <w:rsid w:val="00282405"/>
    <w:rsid w:val="00285170"/>
    <w:rsid w:val="00285361"/>
    <w:rsid w:val="002872A3"/>
    <w:rsid w:val="00292D60"/>
    <w:rsid w:val="00293B30"/>
    <w:rsid w:val="00294D34"/>
    <w:rsid w:val="00294E3B"/>
    <w:rsid w:val="00296193"/>
    <w:rsid w:val="00296C66"/>
    <w:rsid w:val="00296EBE"/>
    <w:rsid w:val="002974E3"/>
    <w:rsid w:val="002A084B"/>
    <w:rsid w:val="002A1260"/>
    <w:rsid w:val="002A1589"/>
    <w:rsid w:val="002A1608"/>
    <w:rsid w:val="002A1EAE"/>
    <w:rsid w:val="002A25DC"/>
    <w:rsid w:val="002A3AAB"/>
    <w:rsid w:val="002A3DD2"/>
    <w:rsid w:val="002A4CEA"/>
    <w:rsid w:val="002A5977"/>
    <w:rsid w:val="002A59CE"/>
    <w:rsid w:val="002A5A13"/>
    <w:rsid w:val="002A757F"/>
    <w:rsid w:val="002A7F44"/>
    <w:rsid w:val="002B057F"/>
    <w:rsid w:val="002B0C40"/>
    <w:rsid w:val="002B17A7"/>
    <w:rsid w:val="002B1966"/>
    <w:rsid w:val="002B214C"/>
    <w:rsid w:val="002B3511"/>
    <w:rsid w:val="002B4508"/>
    <w:rsid w:val="002B5779"/>
    <w:rsid w:val="002B6CC8"/>
    <w:rsid w:val="002B7332"/>
    <w:rsid w:val="002B7F51"/>
    <w:rsid w:val="002C0203"/>
    <w:rsid w:val="002C09E7"/>
    <w:rsid w:val="002C152E"/>
    <w:rsid w:val="002C1E06"/>
    <w:rsid w:val="002C3F07"/>
    <w:rsid w:val="002C5278"/>
    <w:rsid w:val="002C7EBB"/>
    <w:rsid w:val="002D06C1"/>
    <w:rsid w:val="002D33F3"/>
    <w:rsid w:val="002D3EA4"/>
    <w:rsid w:val="002D42B5"/>
    <w:rsid w:val="002D439B"/>
    <w:rsid w:val="002D4BB7"/>
    <w:rsid w:val="002D4F1A"/>
    <w:rsid w:val="002D6EC6"/>
    <w:rsid w:val="002D79AC"/>
    <w:rsid w:val="002E039D"/>
    <w:rsid w:val="002E2F6D"/>
    <w:rsid w:val="002E496C"/>
    <w:rsid w:val="002E4D5A"/>
    <w:rsid w:val="002E6326"/>
    <w:rsid w:val="002F30E0"/>
    <w:rsid w:val="002F35E4"/>
    <w:rsid w:val="002F3730"/>
    <w:rsid w:val="002F38E1"/>
    <w:rsid w:val="002F7AF6"/>
    <w:rsid w:val="00300E63"/>
    <w:rsid w:val="00302950"/>
    <w:rsid w:val="00302F5F"/>
    <w:rsid w:val="0030441D"/>
    <w:rsid w:val="00306063"/>
    <w:rsid w:val="00306B8F"/>
    <w:rsid w:val="00306C9D"/>
    <w:rsid w:val="00313B85"/>
    <w:rsid w:val="00317988"/>
    <w:rsid w:val="00321542"/>
    <w:rsid w:val="00321FC6"/>
    <w:rsid w:val="003221B4"/>
    <w:rsid w:val="0032258D"/>
    <w:rsid w:val="00322E62"/>
    <w:rsid w:val="00324D13"/>
    <w:rsid w:val="00324EDD"/>
    <w:rsid w:val="003331E4"/>
    <w:rsid w:val="00336C64"/>
    <w:rsid w:val="00337162"/>
    <w:rsid w:val="0034194F"/>
    <w:rsid w:val="00341E24"/>
    <w:rsid w:val="00344605"/>
    <w:rsid w:val="00346884"/>
    <w:rsid w:val="003474AA"/>
    <w:rsid w:val="00350D1D"/>
    <w:rsid w:val="00352C83"/>
    <w:rsid w:val="00352F1A"/>
    <w:rsid w:val="00353C3D"/>
    <w:rsid w:val="00354C92"/>
    <w:rsid w:val="0036107C"/>
    <w:rsid w:val="003615D2"/>
    <w:rsid w:val="00362AD2"/>
    <w:rsid w:val="0036429C"/>
    <w:rsid w:val="00364A53"/>
    <w:rsid w:val="003654CB"/>
    <w:rsid w:val="00365534"/>
    <w:rsid w:val="00365AA9"/>
    <w:rsid w:val="00365F86"/>
    <w:rsid w:val="00365F87"/>
    <w:rsid w:val="00366D24"/>
    <w:rsid w:val="00366E89"/>
    <w:rsid w:val="003705F4"/>
    <w:rsid w:val="00370D58"/>
    <w:rsid w:val="00371282"/>
    <w:rsid w:val="00371316"/>
    <w:rsid w:val="00376713"/>
    <w:rsid w:val="00381815"/>
    <w:rsid w:val="003819AF"/>
    <w:rsid w:val="003820E9"/>
    <w:rsid w:val="00382DE7"/>
    <w:rsid w:val="00384FFC"/>
    <w:rsid w:val="003872FC"/>
    <w:rsid w:val="00387ADC"/>
    <w:rsid w:val="00390020"/>
    <w:rsid w:val="003903D6"/>
    <w:rsid w:val="00390EE6"/>
    <w:rsid w:val="0039118F"/>
    <w:rsid w:val="00391F5B"/>
    <w:rsid w:val="00392AD7"/>
    <w:rsid w:val="003938D9"/>
    <w:rsid w:val="00394376"/>
    <w:rsid w:val="003943FF"/>
    <w:rsid w:val="003974EB"/>
    <w:rsid w:val="00397CC5"/>
    <w:rsid w:val="003A11D1"/>
    <w:rsid w:val="003A1582"/>
    <w:rsid w:val="003A3D9C"/>
    <w:rsid w:val="003A4077"/>
    <w:rsid w:val="003A4AA7"/>
    <w:rsid w:val="003A5E62"/>
    <w:rsid w:val="003B0643"/>
    <w:rsid w:val="003B09AD"/>
    <w:rsid w:val="003B0A76"/>
    <w:rsid w:val="003B1F18"/>
    <w:rsid w:val="003B5BF0"/>
    <w:rsid w:val="003B60BF"/>
    <w:rsid w:val="003B6933"/>
    <w:rsid w:val="003B6BE3"/>
    <w:rsid w:val="003C010C"/>
    <w:rsid w:val="003C0A6C"/>
    <w:rsid w:val="003C14F8"/>
    <w:rsid w:val="003C5A43"/>
    <w:rsid w:val="003C6F87"/>
    <w:rsid w:val="003C795E"/>
    <w:rsid w:val="003D0519"/>
    <w:rsid w:val="003D0FF6"/>
    <w:rsid w:val="003D262C"/>
    <w:rsid w:val="003D3C2D"/>
    <w:rsid w:val="003D4841"/>
    <w:rsid w:val="003D6D61"/>
    <w:rsid w:val="003E019F"/>
    <w:rsid w:val="003E091D"/>
    <w:rsid w:val="003E1C53"/>
    <w:rsid w:val="003E2A69"/>
    <w:rsid w:val="003E2D49"/>
    <w:rsid w:val="003E2FD4"/>
    <w:rsid w:val="003E3057"/>
    <w:rsid w:val="003E49F6"/>
    <w:rsid w:val="003E660F"/>
    <w:rsid w:val="003F0841"/>
    <w:rsid w:val="003F23D3"/>
    <w:rsid w:val="003F2434"/>
    <w:rsid w:val="003F3F08"/>
    <w:rsid w:val="003F49F1"/>
    <w:rsid w:val="003F5320"/>
    <w:rsid w:val="003F6272"/>
    <w:rsid w:val="00400E72"/>
    <w:rsid w:val="00401400"/>
    <w:rsid w:val="00402E9B"/>
    <w:rsid w:val="00404869"/>
    <w:rsid w:val="00405884"/>
    <w:rsid w:val="00407697"/>
    <w:rsid w:val="00407D39"/>
    <w:rsid w:val="00411576"/>
    <w:rsid w:val="0041477A"/>
    <w:rsid w:val="004167A3"/>
    <w:rsid w:val="00430567"/>
    <w:rsid w:val="00432DAA"/>
    <w:rsid w:val="00434305"/>
    <w:rsid w:val="00435DF7"/>
    <w:rsid w:val="004372FE"/>
    <w:rsid w:val="0044083F"/>
    <w:rsid w:val="00441AE7"/>
    <w:rsid w:val="00445574"/>
    <w:rsid w:val="004467FB"/>
    <w:rsid w:val="00451CCB"/>
    <w:rsid w:val="00452D6B"/>
    <w:rsid w:val="00454484"/>
    <w:rsid w:val="0045517B"/>
    <w:rsid w:val="004562DD"/>
    <w:rsid w:val="00463B77"/>
    <w:rsid w:val="00463C7B"/>
    <w:rsid w:val="004644A6"/>
    <w:rsid w:val="004659BD"/>
    <w:rsid w:val="00470775"/>
    <w:rsid w:val="004746B1"/>
    <w:rsid w:val="0047583F"/>
    <w:rsid w:val="00475C72"/>
    <w:rsid w:val="00475DE8"/>
    <w:rsid w:val="00477908"/>
    <w:rsid w:val="00481C44"/>
    <w:rsid w:val="0048221E"/>
    <w:rsid w:val="00484936"/>
    <w:rsid w:val="00485C89"/>
    <w:rsid w:val="00486BE3"/>
    <w:rsid w:val="004905E4"/>
    <w:rsid w:val="00490A89"/>
    <w:rsid w:val="00490AB4"/>
    <w:rsid w:val="00490BF7"/>
    <w:rsid w:val="004920C6"/>
    <w:rsid w:val="00492F02"/>
    <w:rsid w:val="004939AE"/>
    <w:rsid w:val="004962C0"/>
    <w:rsid w:val="004A12DF"/>
    <w:rsid w:val="004A1BA8"/>
    <w:rsid w:val="004A4B57"/>
    <w:rsid w:val="004A63FA"/>
    <w:rsid w:val="004A6A3D"/>
    <w:rsid w:val="004B0272"/>
    <w:rsid w:val="004B2701"/>
    <w:rsid w:val="004B2E1B"/>
    <w:rsid w:val="004B3AA8"/>
    <w:rsid w:val="004B3AE9"/>
    <w:rsid w:val="004B3B39"/>
    <w:rsid w:val="004B3E93"/>
    <w:rsid w:val="004B5FD4"/>
    <w:rsid w:val="004C1FBC"/>
    <w:rsid w:val="004C25A2"/>
    <w:rsid w:val="004C3F15"/>
    <w:rsid w:val="004C3F1D"/>
    <w:rsid w:val="004C458D"/>
    <w:rsid w:val="004C7556"/>
    <w:rsid w:val="004C7E8B"/>
    <w:rsid w:val="004C7E9D"/>
    <w:rsid w:val="004C7F67"/>
    <w:rsid w:val="004D076D"/>
    <w:rsid w:val="004D0EF1"/>
    <w:rsid w:val="004D1813"/>
    <w:rsid w:val="004D1A06"/>
    <w:rsid w:val="004D2253"/>
    <w:rsid w:val="004D3807"/>
    <w:rsid w:val="004D4406"/>
    <w:rsid w:val="004D714E"/>
    <w:rsid w:val="004D7C42"/>
    <w:rsid w:val="004E0465"/>
    <w:rsid w:val="004E127B"/>
    <w:rsid w:val="004E1C0A"/>
    <w:rsid w:val="004E30C5"/>
    <w:rsid w:val="004E35E1"/>
    <w:rsid w:val="004E4AA5"/>
    <w:rsid w:val="004E4AEE"/>
    <w:rsid w:val="004E59E3"/>
    <w:rsid w:val="004E67C0"/>
    <w:rsid w:val="004F391A"/>
    <w:rsid w:val="004F3CFB"/>
    <w:rsid w:val="004F6168"/>
    <w:rsid w:val="004F6456"/>
    <w:rsid w:val="004F696E"/>
    <w:rsid w:val="004F6C71"/>
    <w:rsid w:val="00501139"/>
    <w:rsid w:val="0050363E"/>
    <w:rsid w:val="005039BC"/>
    <w:rsid w:val="005043BB"/>
    <w:rsid w:val="00504A3D"/>
    <w:rsid w:val="005053ED"/>
    <w:rsid w:val="00505767"/>
    <w:rsid w:val="005073F0"/>
    <w:rsid w:val="00510A7B"/>
    <w:rsid w:val="00512872"/>
    <w:rsid w:val="00512F6E"/>
    <w:rsid w:val="00513038"/>
    <w:rsid w:val="00514174"/>
    <w:rsid w:val="00516088"/>
    <w:rsid w:val="00516B0B"/>
    <w:rsid w:val="00516EDD"/>
    <w:rsid w:val="00517E46"/>
    <w:rsid w:val="00520B1E"/>
    <w:rsid w:val="005220EC"/>
    <w:rsid w:val="00523F95"/>
    <w:rsid w:val="00524D65"/>
    <w:rsid w:val="00525B16"/>
    <w:rsid w:val="00526D71"/>
    <w:rsid w:val="00527D24"/>
    <w:rsid w:val="00530BF1"/>
    <w:rsid w:val="00533D04"/>
    <w:rsid w:val="00534804"/>
    <w:rsid w:val="00534BDF"/>
    <w:rsid w:val="0053536F"/>
    <w:rsid w:val="005354EA"/>
    <w:rsid w:val="0053585F"/>
    <w:rsid w:val="00535EC4"/>
    <w:rsid w:val="00535ED9"/>
    <w:rsid w:val="005361E0"/>
    <w:rsid w:val="005367E1"/>
    <w:rsid w:val="0053692B"/>
    <w:rsid w:val="00541853"/>
    <w:rsid w:val="00542E85"/>
    <w:rsid w:val="00543BDA"/>
    <w:rsid w:val="005441CC"/>
    <w:rsid w:val="005479DA"/>
    <w:rsid w:val="00547BCC"/>
    <w:rsid w:val="0055013B"/>
    <w:rsid w:val="00551336"/>
    <w:rsid w:val="0055148C"/>
    <w:rsid w:val="00551F6F"/>
    <w:rsid w:val="00553837"/>
    <w:rsid w:val="00555044"/>
    <w:rsid w:val="005601F4"/>
    <w:rsid w:val="00561475"/>
    <w:rsid w:val="00562308"/>
    <w:rsid w:val="0056487B"/>
    <w:rsid w:val="00564FB9"/>
    <w:rsid w:val="005732E9"/>
    <w:rsid w:val="00573D9E"/>
    <w:rsid w:val="00577701"/>
    <w:rsid w:val="005801E3"/>
    <w:rsid w:val="00581802"/>
    <w:rsid w:val="005836A8"/>
    <w:rsid w:val="0058409C"/>
    <w:rsid w:val="00584262"/>
    <w:rsid w:val="00586630"/>
    <w:rsid w:val="00586FEC"/>
    <w:rsid w:val="00587ADD"/>
    <w:rsid w:val="00587D34"/>
    <w:rsid w:val="00591A1E"/>
    <w:rsid w:val="00593A49"/>
    <w:rsid w:val="005956FF"/>
    <w:rsid w:val="00596160"/>
    <w:rsid w:val="005966E2"/>
    <w:rsid w:val="00597007"/>
    <w:rsid w:val="00597F06"/>
    <w:rsid w:val="005A0333"/>
    <w:rsid w:val="005A0966"/>
    <w:rsid w:val="005A0AEC"/>
    <w:rsid w:val="005A11B7"/>
    <w:rsid w:val="005A260B"/>
    <w:rsid w:val="005A48E4"/>
    <w:rsid w:val="005A4A1B"/>
    <w:rsid w:val="005A7830"/>
    <w:rsid w:val="005A7AD9"/>
    <w:rsid w:val="005A7FCE"/>
    <w:rsid w:val="005B0F3F"/>
    <w:rsid w:val="005B191C"/>
    <w:rsid w:val="005B22E0"/>
    <w:rsid w:val="005B4903"/>
    <w:rsid w:val="005B51CE"/>
    <w:rsid w:val="005B5885"/>
    <w:rsid w:val="005B5CD7"/>
    <w:rsid w:val="005B6CF6"/>
    <w:rsid w:val="005B7422"/>
    <w:rsid w:val="005C0D3D"/>
    <w:rsid w:val="005C15F0"/>
    <w:rsid w:val="005C210E"/>
    <w:rsid w:val="005C29B8"/>
    <w:rsid w:val="005C35F5"/>
    <w:rsid w:val="005C5F21"/>
    <w:rsid w:val="005C7156"/>
    <w:rsid w:val="005D0C75"/>
    <w:rsid w:val="005D4171"/>
    <w:rsid w:val="005D4893"/>
    <w:rsid w:val="005D6A95"/>
    <w:rsid w:val="005D6B2C"/>
    <w:rsid w:val="005D6D9C"/>
    <w:rsid w:val="005E2335"/>
    <w:rsid w:val="005E34CA"/>
    <w:rsid w:val="005E3C18"/>
    <w:rsid w:val="005E4250"/>
    <w:rsid w:val="005E6812"/>
    <w:rsid w:val="005E6E2E"/>
    <w:rsid w:val="005E7881"/>
    <w:rsid w:val="005E78E0"/>
    <w:rsid w:val="005F0D9C"/>
    <w:rsid w:val="005F2481"/>
    <w:rsid w:val="005F284E"/>
    <w:rsid w:val="005F522F"/>
    <w:rsid w:val="006015CE"/>
    <w:rsid w:val="006027A2"/>
    <w:rsid w:val="006044F1"/>
    <w:rsid w:val="00604784"/>
    <w:rsid w:val="006047C2"/>
    <w:rsid w:val="00606419"/>
    <w:rsid w:val="0060711F"/>
    <w:rsid w:val="00607667"/>
    <w:rsid w:val="00607D29"/>
    <w:rsid w:val="00607F44"/>
    <w:rsid w:val="00612952"/>
    <w:rsid w:val="00614CC1"/>
    <w:rsid w:val="00615929"/>
    <w:rsid w:val="00615A9D"/>
    <w:rsid w:val="00617387"/>
    <w:rsid w:val="006205D6"/>
    <w:rsid w:val="006252D8"/>
    <w:rsid w:val="006259BC"/>
    <w:rsid w:val="0062636B"/>
    <w:rsid w:val="00632182"/>
    <w:rsid w:val="00632AE0"/>
    <w:rsid w:val="00633C17"/>
    <w:rsid w:val="00634D9E"/>
    <w:rsid w:val="00636E3E"/>
    <w:rsid w:val="006379F7"/>
    <w:rsid w:val="00637E4D"/>
    <w:rsid w:val="006405EB"/>
    <w:rsid w:val="00640620"/>
    <w:rsid w:val="00641A1F"/>
    <w:rsid w:val="00643F86"/>
    <w:rsid w:val="00644D48"/>
    <w:rsid w:val="00645904"/>
    <w:rsid w:val="00645C68"/>
    <w:rsid w:val="00647B02"/>
    <w:rsid w:val="00651ACB"/>
    <w:rsid w:val="00651C47"/>
    <w:rsid w:val="00652AB2"/>
    <w:rsid w:val="00653FED"/>
    <w:rsid w:val="00654D09"/>
    <w:rsid w:val="00654EC0"/>
    <w:rsid w:val="006550F9"/>
    <w:rsid w:val="0065525B"/>
    <w:rsid w:val="00655D4F"/>
    <w:rsid w:val="00656D29"/>
    <w:rsid w:val="006640E5"/>
    <w:rsid w:val="006646F1"/>
    <w:rsid w:val="00664929"/>
    <w:rsid w:val="00664F62"/>
    <w:rsid w:val="006655E1"/>
    <w:rsid w:val="00666423"/>
    <w:rsid w:val="00672060"/>
    <w:rsid w:val="00672BFD"/>
    <w:rsid w:val="006770F4"/>
    <w:rsid w:val="00677A84"/>
    <w:rsid w:val="0068026D"/>
    <w:rsid w:val="006806FE"/>
    <w:rsid w:val="00680A27"/>
    <w:rsid w:val="006816A4"/>
    <w:rsid w:val="006819B8"/>
    <w:rsid w:val="006840A6"/>
    <w:rsid w:val="006843D1"/>
    <w:rsid w:val="006850CD"/>
    <w:rsid w:val="00685AAB"/>
    <w:rsid w:val="00697947"/>
    <w:rsid w:val="006A07AA"/>
    <w:rsid w:val="006A25E5"/>
    <w:rsid w:val="006A2B46"/>
    <w:rsid w:val="006A336D"/>
    <w:rsid w:val="006A37B9"/>
    <w:rsid w:val="006A6090"/>
    <w:rsid w:val="006B2672"/>
    <w:rsid w:val="006B54BF"/>
    <w:rsid w:val="006B5F44"/>
    <w:rsid w:val="006B5F90"/>
    <w:rsid w:val="006B62E4"/>
    <w:rsid w:val="006B7748"/>
    <w:rsid w:val="006C1BBA"/>
    <w:rsid w:val="006C2079"/>
    <w:rsid w:val="006C5A62"/>
    <w:rsid w:val="006C5D68"/>
    <w:rsid w:val="006C6976"/>
    <w:rsid w:val="006C6DD0"/>
    <w:rsid w:val="006C757C"/>
    <w:rsid w:val="006D04EA"/>
    <w:rsid w:val="006D0A90"/>
    <w:rsid w:val="006D16C4"/>
    <w:rsid w:val="006D3E96"/>
    <w:rsid w:val="006D4515"/>
    <w:rsid w:val="006D4BB1"/>
    <w:rsid w:val="006D6593"/>
    <w:rsid w:val="006D763A"/>
    <w:rsid w:val="006F03A8"/>
    <w:rsid w:val="006F2683"/>
    <w:rsid w:val="006F2ACA"/>
    <w:rsid w:val="006F2ADC"/>
    <w:rsid w:val="006F2BFE"/>
    <w:rsid w:val="006F31E9"/>
    <w:rsid w:val="006F372F"/>
    <w:rsid w:val="006F4A4D"/>
    <w:rsid w:val="006F6284"/>
    <w:rsid w:val="007002C5"/>
    <w:rsid w:val="00704387"/>
    <w:rsid w:val="00707669"/>
    <w:rsid w:val="00711CBA"/>
    <w:rsid w:val="00711FB5"/>
    <w:rsid w:val="00712A01"/>
    <w:rsid w:val="00712BDB"/>
    <w:rsid w:val="00714F58"/>
    <w:rsid w:val="00722FBF"/>
    <w:rsid w:val="00722FC2"/>
    <w:rsid w:val="00724E1B"/>
    <w:rsid w:val="00725949"/>
    <w:rsid w:val="00727FA2"/>
    <w:rsid w:val="007322D9"/>
    <w:rsid w:val="00732BC0"/>
    <w:rsid w:val="00735C8A"/>
    <w:rsid w:val="0073720F"/>
    <w:rsid w:val="00737506"/>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1BFB"/>
    <w:rsid w:val="0075270A"/>
    <w:rsid w:val="00752B4D"/>
    <w:rsid w:val="0075320E"/>
    <w:rsid w:val="00755402"/>
    <w:rsid w:val="00756B26"/>
    <w:rsid w:val="00756EDF"/>
    <w:rsid w:val="007600E3"/>
    <w:rsid w:val="007641A7"/>
    <w:rsid w:val="00765C43"/>
    <w:rsid w:val="00765EFB"/>
    <w:rsid w:val="007671CA"/>
    <w:rsid w:val="0076772A"/>
    <w:rsid w:val="00767C61"/>
    <w:rsid w:val="0077008A"/>
    <w:rsid w:val="00771CDC"/>
    <w:rsid w:val="00773C1F"/>
    <w:rsid w:val="00774DA4"/>
    <w:rsid w:val="007751D6"/>
    <w:rsid w:val="00776599"/>
    <w:rsid w:val="0078114B"/>
    <w:rsid w:val="00781DD2"/>
    <w:rsid w:val="007828E9"/>
    <w:rsid w:val="00783ECF"/>
    <w:rsid w:val="0078413A"/>
    <w:rsid w:val="007909C3"/>
    <w:rsid w:val="00791CB1"/>
    <w:rsid w:val="007922F5"/>
    <w:rsid w:val="00792650"/>
    <w:rsid w:val="007959E8"/>
    <w:rsid w:val="00795E9C"/>
    <w:rsid w:val="0079692A"/>
    <w:rsid w:val="007977C1"/>
    <w:rsid w:val="007A0521"/>
    <w:rsid w:val="007A1835"/>
    <w:rsid w:val="007A25AB"/>
    <w:rsid w:val="007A2E12"/>
    <w:rsid w:val="007A3475"/>
    <w:rsid w:val="007A41C8"/>
    <w:rsid w:val="007A4FB0"/>
    <w:rsid w:val="007A54CE"/>
    <w:rsid w:val="007A5D3A"/>
    <w:rsid w:val="007A6FD9"/>
    <w:rsid w:val="007A76D7"/>
    <w:rsid w:val="007A7FFA"/>
    <w:rsid w:val="007B04EB"/>
    <w:rsid w:val="007B0D4F"/>
    <w:rsid w:val="007B356F"/>
    <w:rsid w:val="007B383E"/>
    <w:rsid w:val="007B4DB5"/>
    <w:rsid w:val="007B5A3D"/>
    <w:rsid w:val="007B5B95"/>
    <w:rsid w:val="007B6032"/>
    <w:rsid w:val="007B68EA"/>
    <w:rsid w:val="007B7453"/>
    <w:rsid w:val="007B7E33"/>
    <w:rsid w:val="007C0DC5"/>
    <w:rsid w:val="007C2D89"/>
    <w:rsid w:val="007C4593"/>
    <w:rsid w:val="007C5309"/>
    <w:rsid w:val="007C6069"/>
    <w:rsid w:val="007D06C4"/>
    <w:rsid w:val="007D1352"/>
    <w:rsid w:val="007D2495"/>
    <w:rsid w:val="007D2508"/>
    <w:rsid w:val="007D2BE7"/>
    <w:rsid w:val="007D346A"/>
    <w:rsid w:val="007D5FA0"/>
    <w:rsid w:val="007D6518"/>
    <w:rsid w:val="007D76BD"/>
    <w:rsid w:val="007E0BF1"/>
    <w:rsid w:val="007F0ED8"/>
    <w:rsid w:val="007F0F63"/>
    <w:rsid w:val="007F4594"/>
    <w:rsid w:val="007F5F85"/>
    <w:rsid w:val="007F75CE"/>
    <w:rsid w:val="008013A4"/>
    <w:rsid w:val="008027CE"/>
    <w:rsid w:val="00802F42"/>
    <w:rsid w:val="008036DD"/>
    <w:rsid w:val="00804383"/>
    <w:rsid w:val="00804BB7"/>
    <w:rsid w:val="00804D41"/>
    <w:rsid w:val="008100D8"/>
    <w:rsid w:val="00810257"/>
    <w:rsid w:val="008104F5"/>
    <w:rsid w:val="00811072"/>
    <w:rsid w:val="00811369"/>
    <w:rsid w:val="0081255E"/>
    <w:rsid w:val="00815419"/>
    <w:rsid w:val="008163C8"/>
    <w:rsid w:val="008164A1"/>
    <w:rsid w:val="00817325"/>
    <w:rsid w:val="008209E6"/>
    <w:rsid w:val="00821D19"/>
    <w:rsid w:val="00823303"/>
    <w:rsid w:val="008233B2"/>
    <w:rsid w:val="00823A9F"/>
    <w:rsid w:val="00823C85"/>
    <w:rsid w:val="00824B9A"/>
    <w:rsid w:val="00825138"/>
    <w:rsid w:val="008269DD"/>
    <w:rsid w:val="00830621"/>
    <w:rsid w:val="0083348C"/>
    <w:rsid w:val="008373D3"/>
    <w:rsid w:val="00840617"/>
    <w:rsid w:val="00840F84"/>
    <w:rsid w:val="0084200A"/>
    <w:rsid w:val="00842A47"/>
    <w:rsid w:val="00843C13"/>
    <w:rsid w:val="00843DEF"/>
    <w:rsid w:val="00844890"/>
    <w:rsid w:val="008454F8"/>
    <w:rsid w:val="00846033"/>
    <w:rsid w:val="008464AD"/>
    <w:rsid w:val="0085173A"/>
    <w:rsid w:val="008603CE"/>
    <w:rsid w:val="008620FC"/>
    <w:rsid w:val="008627A5"/>
    <w:rsid w:val="00863E05"/>
    <w:rsid w:val="008641AE"/>
    <w:rsid w:val="00865ACA"/>
    <w:rsid w:val="00865D28"/>
    <w:rsid w:val="00865F85"/>
    <w:rsid w:val="00867C10"/>
    <w:rsid w:val="00870439"/>
    <w:rsid w:val="00870DA1"/>
    <w:rsid w:val="008713D6"/>
    <w:rsid w:val="00876A4F"/>
    <w:rsid w:val="00883F93"/>
    <w:rsid w:val="0088407C"/>
    <w:rsid w:val="00884DB3"/>
    <w:rsid w:val="00885A9D"/>
    <w:rsid w:val="008864F6"/>
    <w:rsid w:val="0089049D"/>
    <w:rsid w:val="00890C61"/>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2B78"/>
    <w:rsid w:val="008B3615"/>
    <w:rsid w:val="008B4AC4"/>
    <w:rsid w:val="008B50C8"/>
    <w:rsid w:val="008B5281"/>
    <w:rsid w:val="008B5691"/>
    <w:rsid w:val="008B5A38"/>
    <w:rsid w:val="008B7E05"/>
    <w:rsid w:val="008C1797"/>
    <w:rsid w:val="008C219C"/>
    <w:rsid w:val="008C475E"/>
    <w:rsid w:val="008C4D1D"/>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592A"/>
    <w:rsid w:val="008E6A84"/>
    <w:rsid w:val="008F0CDC"/>
    <w:rsid w:val="008F17A3"/>
    <w:rsid w:val="008F1ED3"/>
    <w:rsid w:val="008F4C29"/>
    <w:rsid w:val="008F6AE3"/>
    <w:rsid w:val="008F70BD"/>
    <w:rsid w:val="008F788F"/>
    <w:rsid w:val="008F7EA2"/>
    <w:rsid w:val="00902722"/>
    <w:rsid w:val="009027BC"/>
    <w:rsid w:val="009062E6"/>
    <w:rsid w:val="00906D16"/>
    <w:rsid w:val="00911BE5"/>
    <w:rsid w:val="00913CA9"/>
    <w:rsid w:val="009145AE"/>
    <w:rsid w:val="009146CE"/>
    <w:rsid w:val="00914CA7"/>
    <w:rsid w:val="00915C3E"/>
    <w:rsid w:val="009161A8"/>
    <w:rsid w:val="00922339"/>
    <w:rsid w:val="009245AE"/>
    <w:rsid w:val="009245F5"/>
    <w:rsid w:val="009249EC"/>
    <w:rsid w:val="009273B3"/>
    <w:rsid w:val="009305B5"/>
    <w:rsid w:val="00935083"/>
    <w:rsid w:val="009378DD"/>
    <w:rsid w:val="009429D5"/>
    <w:rsid w:val="00942BF1"/>
    <w:rsid w:val="00945180"/>
    <w:rsid w:val="00945428"/>
    <w:rsid w:val="0094607B"/>
    <w:rsid w:val="00950EF2"/>
    <w:rsid w:val="0095164D"/>
    <w:rsid w:val="00953604"/>
    <w:rsid w:val="00953CA6"/>
    <w:rsid w:val="0095496B"/>
    <w:rsid w:val="009563FE"/>
    <w:rsid w:val="009608D2"/>
    <w:rsid w:val="00960F1E"/>
    <w:rsid w:val="009610DC"/>
    <w:rsid w:val="00961490"/>
    <w:rsid w:val="00961FDB"/>
    <w:rsid w:val="0096381A"/>
    <w:rsid w:val="00965E04"/>
    <w:rsid w:val="009674AD"/>
    <w:rsid w:val="00970CDC"/>
    <w:rsid w:val="00970FFC"/>
    <w:rsid w:val="009737F3"/>
    <w:rsid w:val="00975727"/>
    <w:rsid w:val="00977010"/>
    <w:rsid w:val="00977D02"/>
    <w:rsid w:val="00977FF9"/>
    <w:rsid w:val="009809BB"/>
    <w:rsid w:val="00982168"/>
    <w:rsid w:val="0098364B"/>
    <w:rsid w:val="009875F2"/>
    <w:rsid w:val="009908A3"/>
    <w:rsid w:val="009911AF"/>
    <w:rsid w:val="00991875"/>
    <w:rsid w:val="00991F92"/>
    <w:rsid w:val="00992985"/>
    <w:rsid w:val="00992E3A"/>
    <w:rsid w:val="00993889"/>
    <w:rsid w:val="009948C3"/>
    <w:rsid w:val="0099551B"/>
    <w:rsid w:val="00996BD2"/>
    <w:rsid w:val="00997BF1"/>
    <w:rsid w:val="009A089C"/>
    <w:rsid w:val="009A118E"/>
    <w:rsid w:val="009A21CD"/>
    <w:rsid w:val="009A278C"/>
    <w:rsid w:val="009A2BC2"/>
    <w:rsid w:val="009A42C1"/>
    <w:rsid w:val="009A5429"/>
    <w:rsid w:val="009A72AD"/>
    <w:rsid w:val="009B09E0"/>
    <w:rsid w:val="009B0BC5"/>
    <w:rsid w:val="009B1245"/>
    <w:rsid w:val="009B1247"/>
    <w:rsid w:val="009B347F"/>
    <w:rsid w:val="009B5E5E"/>
    <w:rsid w:val="009B6029"/>
    <w:rsid w:val="009B6971"/>
    <w:rsid w:val="009B7F27"/>
    <w:rsid w:val="009C1081"/>
    <w:rsid w:val="009C27F1"/>
    <w:rsid w:val="009C3152"/>
    <w:rsid w:val="009C3257"/>
    <w:rsid w:val="009C3D87"/>
    <w:rsid w:val="009C4CFA"/>
    <w:rsid w:val="009C5070"/>
    <w:rsid w:val="009D112C"/>
    <w:rsid w:val="009D1385"/>
    <w:rsid w:val="009D35A2"/>
    <w:rsid w:val="009D47FA"/>
    <w:rsid w:val="009D4C5B"/>
    <w:rsid w:val="009D50D2"/>
    <w:rsid w:val="009D68A4"/>
    <w:rsid w:val="009D6BCA"/>
    <w:rsid w:val="009E0F62"/>
    <w:rsid w:val="009E4A58"/>
    <w:rsid w:val="009E5A2D"/>
    <w:rsid w:val="009E5AB2"/>
    <w:rsid w:val="009E6219"/>
    <w:rsid w:val="009F03B3"/>
    <w:rsid w:val="009F0AA9"/>
    <w:rsid w:val="009F22EB"/>
    <w:rsid w:val="009F66FC"/>
    <w:rsid w:val="009F695F"/>
    <w:rsid w:val="00A0096C"/>
    <w:rsid w:val="00A01757"/>
    <w:rsid w:val="00A0218F"/>
    <w:rsid w:val="00A028C0"/>
    <w:rsid w:val="00A02BAE"/>
    <w:rsid w:val="00A06A6B"/>
    <w:rsid w:val="00A07E47"/>
    <w:rsid w:val="00A129D0"/>
    <w:rsid w:val="00A12C33"/>
    <w:rsid w:val="00A138BA"/>
    <w:rsid w:val="00A14C8E"/>
    <w:rsid w:val="00A153D9"/>
    <w:rsid w:val="00A15F09"/>
    <w:rsid w:val="00A169B6"/>
    <w:rsid w:val="00A201FC"/>
    <w:rsid w:val="00A2271D"/>
    <w:rsid w:val="00A237D5"/>
    <w:rsid w:val="00A2412C"/>
    <w:rsid w:val="00A25811"/>
    <w:rsid w:val="00A30EFC"/>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932"/>
    <w:rsid w:val="00A44E69"/>
    <w:rsid w:val="00A4661E"/>
    <w:rsid w:val="00A555F6"/>
    <w:rsid w:val="00A55BD6"/>
    <w:rsid w:val="00A55BF6"/>
    <w:rsid w:val="00A55D50"/>
    <w:rsid w:val="00A57142"/>
    <w:rsid w:val="00A60EEE"/>
    <w:rsid w:val="00A648CD"/>
    <w:rsid w:val="00A650CF"/>
    <w:rsid w:val="00A6537A"/>
    <w:rsid w:val="00A67866"/>
    <w:rsid w:val="00A706C5"/>
    <w:rsid w:val="00A70B07"/>
    <w:rsid w:val="00A711D9"/>
    <w:rsid w:val="00A723F8"/>
    <w:rsid w:val="00A77CCB"/>
    <w:rsid w:val="00A83D8D"/>
    <w:rsid w:val="00A8446B"/>
    <w:rsid w:val="00A8473F"/>
    <w:rsid w:val="00A862D6"/>
    <w:rsid w:val="00A8715E"/>
    <w:rsid w:val="00A92495"/>
    <w:rsid w:val="00A9295B"/>
    <w:rsid w:val="00A93B09"/>
    <w:rsid w:val="00A94283"/>
    <w:rsid w:val="00A952D7"/>
    <w:rsid w:val="00A963F7"/>
    <w:rsid w:val="00A96AD8"/>
    <w:rsid w:val="00A97828"/>
    <w:rsid w:val="00AA052C"/>
    <w:rsid w:val="00AA1E45"/>
    <w:rsid w:val="00AA3B6F"/>
    <w:rsid w:val="00AA4286"/>
    <w:rsid w:val="00AA456B"/>
    <w:rsid w:val="00AA4FFD"/>
    <w:rsid w:val="00AA57F5"/>
    <w:rsid w:val="00AA672E"/>
    <w:rsid w:val="00AA6EC9"/>
    <w:rsid w:val="00AB0297"/>
    <w:rsid w:val="00AB17FA"/>
    <w:rsid w:val="00AB5B37"/>
    <w:rsid w:val="00AB6309"/>
    <w:rsid w:val="00AB6C5F"/>
    <w:rsid w:val="00AB7129"/>
    <w:rsid w:val="00AC27A6"/>
    <w:rsid w:val="00AC30F7"/>
    <w:rsid w:val="00AC3A5A"/>
    <w:rsid w:val="00AC3B69"/>
    <w:rsid w:val="00AC4D95"/>
    <w:rsid w:val="00AC5DF4"/>
    <w:rsid w:val="00AD0AEF"/>
    <w:rsid w:val="00AD101C"/>
    <w:rsid w:val="00AD11B7"/>
    <w:rsid w:val="00AD1A94"/>
    <w:rsid w:val="00AD1C05"/>
    <w:rsid w:val="00AD4126"/>
    <w:rsid w:val="00AD421C"/>
    <w:rsid w:val="00AD44FA"/>
    <w:rsid w:val="00AD5906"/>
    <w:rsid w:val="00AE070A"/>
    <w:rsid w:val="00AE101C"/>
    <w:rsid w:val="00AE15F2"/>
    <w:rsid w:val="00AE2A69"/>
    <w:rsid w:val="00AE37E5"/>
    <w:rsid w:val="00AE5EB4"/>
    <w:rsid w:val="00AE75F7"/>
    <w:rsid w:val="00AF0C18"/>
    <w:rsid w:val="00AF47C5"/>
    <w:rsid w:val="00AF5398"/>
    <w:rsid w:val="00AF7882"/>
    <w:rsid w:val="00B049AF"/>
    <w:rsid w:val="00B05C23"/>
    <w:rsid w:val="00B07242"/>
    <w:rsid w:val="00B07BBA"/>
    <w:rsid w:val="00B10534"/>
    <w:rsid w:val="00B113DB"/>
    <w:rsid w:val="00B11D8A"/>
    <w:rsid w:val="00B12981"/>
    <w:rsid w:val="00B147DD"/>
    <w:rsid w:val="00B156FD"/>
    <w:rsid w:val="00B1623A"/>
    <w:rsid w:val="00B16FF8"/>
    <w:rsid w:val="00B17D2F"/>
    <w:rsid w:val="00B21F61"/>
    <w:rsid w:val="00B261F1"/>
    <w:rsid w:val="00B265BC"/>
    <w:rsid w:val="00B31FB1"/>
    <w:rsid w:val="00B33952"/>
    <w:rsid w:val="00B33C5E"/>
    <w:rsid w:val="00B33DC5"/>
    <w:rsid w:val="00B342F4"/>
    <w:rsid w:val="00B34369"/>
    <w:rsid w:val="00B3486F"/>
    <w:rsid w:val="00B34DC2"/>
    <w:rsid w:val="00B35D7F"/>
    <w:rsid w:val="00B37093"/>
    <w:rsid w:val="00B378B2"/>
    <w:rsid w:val="00B378E5"/>
    <w:rsid w:val="00B4346D"/>
    <w:rsid w:val="00B440F4"/>
    <w:rsid w:val="00B447A5"/>
    <w:rsid w:val="00B44F45"/>
    <w:rsid w:val="00B44FE9"/>
    <w:rsid w:val="00B4654C"/>
    <w:rsid w:val="00B47293"/>
    <w:rsid w:val="00B50E50"/>
    <w:rsid w:val="00B52120"/>
    <w:rsid w:val="00B53400"/>
    <w:rsid w:val="00B54ABC"/>
    <w:rsid w:val="00B55451"/>
    <w:rsid w:val="00B56FBE"/>
    <w:rsid w:val="00B57C59"/>
    <w:rsid w:val="00B601B6"/>
    <w:rsid w:val="00B60A30"/>
    <w:rsid w:val="00B60ACF"/>
    <w:rsid w:val="00B62B58"/>
    <w:rsid w:val="00B63831"/>
    <w:rsid w:val="00B65149"/>
    <w:rsid w:val="00B66567"/>
    <w:rsid w:val="00B66F52"/>
    <w:rsid w:val="00B66FE5"/>
    <w:rsid w:val="00B678F9"/>
    <w:rsid w:val="00B72880"/>
    <w:rsid w:val="00B72A1D"/>
    <w:rsid w:val="00B758BF"/>
    <w:rsid w:val="00B77EC8"/>
    <w:rsid w:val="00B82265"/>
    <w:rsid w:val="00B827A6"/>
    <w:rsid w:val="00B831CE"/>
    <w:rsid w:val="00B86677"/>
    <w:rsid w:val="00B86F4C"/>
    <w:rsid w:val="00B87131"/>
    <w:rsid w:val="00B931E2"/>
    <w:rsid w:val="00B939B1"/>
    <w:rsid w:val="00B969D1"/>
    <w:rsid w:val="00B96D40"/>
    <w:rsid w:val="00B97386"/>
    <w:rsid w:val="00BA2037"/>
    <w:rsid w:val="00BA263B"/>
    <w:rsid w:val="00BA42B2"/>
    <w:rsid w:val="00BA58D4"/>
    <w:rsid w:val="00BA5B9E"/>
    <w:rsid w:val="00BA7C9A"/>
    <w:rsid w:val="00BB00AA"/>
    <w:rsid w:val="00BB5345"/>
    <w:rsid w:val="00BB5F8F"/>
    <w:rsid w:val="00BB657A"/>
    <w:rsid w:val="00BB7168"/>
    <w:rsid w:val="00BC1A4E"/>
    <w:rsid w:val="00BC3BAF"/>
    <w:rsid w:val="00BC5DC7"/>
    <w:rsid w:val="00BC6B8B"/>
    <w:rsid w:val="00BC71BD"/>
    <w:rsid w:val="00BC73D8"/>
    <w:rsid w:val="00BD3E07"/>
    <w:rsid w:val="00BD52D7"/>
    <w:rsid w:val="00BD5AD2"/>
    <w:rsid w:val="00BD6D98"/>
    <w:rsid w:val="00BD77DB"/>
    <w:rsid w:val="00BE1C96"/>
    <w:rsid w:val="00BE22F3"/>
    <w:rsid w:val="00BE45D5"/>
    <w:rsid w:val="00BE5B52"/>
    <w:rsid w:val="00BE7B8D"/>
    <w:rsid w:val="00BE7DC1"/>
    <w:rsid w:val="00BF0993"/>
    <w:rsid w:val="00BF10A9"/>
    <w:rsid w:val="00BF1703"/>
    <w:rsid w:val="00BF231C"/>
    <w:rsid w:val="00BF3D6F"/>
    <w:rsid w:val="00BF51E5"/>
    <w:rsid w:val="00BF685D"/>
    <w:rsid w:val="00BF74A6"/>
    <w:rsid w:val="00C00BD4"/>
    <w:rsid w:val="00C013AD"/>
    <w:rsid w:val="00C04904"/>
    <w:rsid w:val="00C050A8"/>
    <w:rsid w:val="00C056B3"/>
    <w:rsid w:val="00C06F74"/>
    <w:rsid w:val="00C103E5"/>
    <w:rsid w:val="00C1218D"/>
    <w:rsid w:val="00C13319"/>
    <w:rsid w:val="00C13EE9"/>
    <w:rsid w:val="00C21540"/>
    <w:rsid w:val="00C21906"/>
    <w:rsid w:val="00C21BFA"/>
    <w:rsid w:val="00C24C8D"/>
    <w:rsid w:val="00C25FE2"/>
    <w:rsid w:val="00C26B53"/>
    <w:rsid w:val="00C279B2"/>
    <w:rsid w:val="00C33E50"/>
    <w:rsid w:val="00C342BB"/>
    <w:rsid w:val="00C34C20"/>
    <w:rsid w:val="00C35A3E"/>
    <w:rsid w:val="00C42130"/>
    <w:rsid w:val="00C423A4"/>
    <w:rsid w:val="00C423E3"/>
    <w:rsid w:val="00C42E05"/>
    <w:rsid w:val="00C43E44"/>
    <w:rsid w:val="00C44BF5"/>
    <w:rsid w:val="00C475E9"/>
    <w:rsid w:val="00C51E3C"/>
    <w:rsid w:val="00C521D6"/>
    <w:rsid w:val="00C53855"/>
    <w:rsid w:val="00C55232"/>
    <w:rsid w:val="00C553A4"/>
    <w:rsid w:val="00C55A06"/>
    <w:rsid w:val="00C55D03"/>
    <w:rsid w:val="00C56014"/>
    <w:rsid w:val="00C601BC"/>
    <w:rsid w:val="00C61411"/>
    <w:rsid w:val="00C627CD"/>
    <w:rsid w:val="00C6329F"/>
    <w:rsid w:val="00C63340"/>
    <w:rsid w:val="00C64172"/>
    <w:rsid w:val="00C643F9"/>
    <w:rsid w:val="00C64E95"/>
    <w:rsid w:val="00C655DC"/>
    <w:rsid w:val="00C71372"/>
    <w:rsid w:val="00C72410"/>
    <w:rsid w:val="00C7287F"/>
    <w:rsid w:val="00C80C2D"/>
    <w:rsid w:val="00C80CB8"/>
    <w:rsid w:val="00C819F8"/>
    <w:rsid w:val="00C8248C"/>
    <w:rsid w:val="00C84B24"/>
    <w:rsid w:val="00C84E33"/>
    <w:rsid w:val="00C859D5"/>
    <w:rsid w:val="00C86D6F"/>
    <w:rsid w:val="00C87420"/>
    <w:rsid w:val="00C905FC"/>
    <w:rsid w:val="00C92D03"/>
    <w:rsid w:val="00C9319C"/>
    <w:rsid w:val="00C9435D"/>
    <w:rsid w:val="00C94DF2"/>
    <w:rsid w:val="00C95B1D"/>
    <w:rsid w:val="00C96741"/>
    <w:rsid w:val="00C97D32"/>
    <w:rsid w:val="00CA0FA6"/>
    <w:rsid w:val="00CA2D1B"/>
    <w:rsid w:val="00CA370A"/>
    <w:rsid w:val="00CA375D"/>
    <w:rsid w:val="00CA662A"/>
    <w:rsid w:val="00CA7AFD"/>
    <w:rsid w:val="00CA7C3C"/>
    <w:rsid w:val="00CB0189"/>
    <w:rsid w:val="00CB0BA2"/>
    <w:rsid w:val="00CB1A42"/>
    <w:rsid w:val="00CB1B0C"/>
    <w:rsid w:val="00CB2745"/>
    <w:rsid w:val="00CB2C0B"/>
    <w:rsid w:val="00CB517D"/>
    <w:rsid w:val="00CC038D"/>
    <w:rsid w:val="00CC08DB"/>
    <w:rsid w:val="00CC39FF"/>
    <w:rsid w:val="00CC3C2F"/>
    <w:rsid w:val="00CC4AC8"/>
    <w:rsid w:val="00CC5233"/>
    <w:rsid w:val="00CC5DE6"/>
    <w:rsid w:val="00CC6E4E"/>
    <w:rsid w:val="00CC6FE8"/>
    <w:rsid w:val="00CC7202"/>
    <w:rsid w:val="00CD2808"/>
    <w:rsid w:val="00CD28BF"/>
    <w:rsid w:val="00CD3271"/>
    <w:rsid w:val="00CD3541"/>
    <w:rsid w:val="00CD4092"/>
    <w:rsid w:val="00CD4A20"/>
    <w:rsid w:val="00CD50A1"/>
    <w:rsid w:val="00CD519E"/>
    <w:rsid w:val="00CD7F17"/>
    <w:rsid w:val="00CE0C4F"/>
    <w:rsid w:val="00CE30EA"/>
    <w:rsid w:val="00CE5BDA"/>
    <w:rsid w:val="00CE6178"/>
    <w:rsid w:val="00CE7A80"/>
    <w:rsid w:val="00CE7EED"/>
    <w:rsid w:val="00CF048A"/>
    <w:rsid w:val="00CF155A"/>
    <w:rsid w:val="00CF2947"/>
    <w:rsid w:val="00CF43B8"/>
    <w:rsid w:val="00CF5402"/>
    <w:rsid w:val="00CF686F"/>
    <w:rsid w:val="00CF6E60"/>
    <w:rsid w:val="00CF7B11"/>
    <w:rsid w:val="00CF7BCA"/>
    <w:rsid w:val="00D008FD"/>
    <w:rsid w:val="00D0321C"/>
    <w:rsid w:val="00D035EC"/>
    <w:rsid w:val="00D06AB1"/>
    <w:rsid w:val="00D06FC1"/>
    <w:rsid w:val="00D072ED"/>
    <w:rsid w:val="00D07A16"/>
    <w:rsid w:val="00D1067E"/>
    <w:rsid w:val="00D10F50"/>
    <w:rsid w:val="00D11272"/>
    <w:rsid w:val="00D126F5"/>
    <w:rsid w:val="00D1489E"/>
    <w:rsid w:val="00D17BB0"/>
    <w:rsid w:val="00D20737"/>
    <w:rsid w:val="00D21847"/>
    <w:rsid w:val="00D21E81"/>
    <w:rsid w:val="00D223DE"/>
    <w:rsid w:val="00D25E37"/>
    <w:rsid w:val="00D2661A"/>
    <w:rsid w:val="00D27582"/>
    <w:rsid w:val="00D27EC4"/>
    <w:rsid w:val="00D32719"/>
    <w:rsid w:val="00D33333"/>
    <w:rsid w:val="00D34BCE"/>
    <w:rsid w:val="00D352A2"/>
    <w:rsid w:val="00D4162B"/>
    <w:rsid w:val="00D4514F"/>
    <w:rsid w:val="00D451E2"/>
    <w:rsid w:val="00D45E89"/>
    <w:rsid w:val="00D45E8D"/>
    <w:rsid w:val="00D466AE"/>
    <w:rsid w:val="00D4734F"/>
    <w:rsid w:val="00D51BF3"/>
    <w:rsid w:val="00D52374"/>
    <w:rsid w:val="00D57B94"/>
    <w:rsid w:val="00D60704"/>
    <w:rsid w:val="00D62EA9"/>
    <w:rsid w:val="00D64DEE"/>
    <w:rsid w:val="00D66846"/>
    <w:rsid w:val="00D675FB"/>
    <w:rsid w:val="00D71275"/>
    <w:rsid w:val="00D71F25"/>
    <w:rsid w:val="00D72A9C"/>
    <w:rsid w:val="00D72CB7"/>
    <w:rsid w:val="00D742F4"/>
    <w:rsid w:val="00D74410"/>
    <w:rsid w:val="00D753C7"/>
    <w:rsid w:val="00D76328"/>
    <w:rsid w:val="00D77031"/>
    <w:rsid w:val="00D7789F"/>
    <w:rsid w:val="00D80D7E"/>
    <w:rsid w:val="00D84941"/>
    <w:rsid w:val="00D84FA1"/>
    <w:rsid w:val="00D851F0"/>
    <w:rsid w:val="00D8686E"/>
    <w:rsid w:val="00D86DB7"/>
    <w:rsid w:val="00D87BF5"/>
    <w:rsid w:val="00D90721"/>
    <w:rsid w:val="00D926D0"/>
    <w:rsid w:val="00D92D05"/>
    <w:rsid w:val="00D93030"/>
    <w:rsid w:val="00D950E1"/>
    <w:rsid w:val="00D952A6"/>
    <w:rsid w:val="00D97F99"/>
    <w:rsid w:val="00DA1B1D"/>
    <w:rsid w:val="00DA1E08"/>
    <w:rsid w:val="00DA24F8"/>
    <w:rsid w:val="00DA28E8"/>
    <w:rsid w:val="00DA38D3"/>
    <w:rsid w:val="00DA3932"/>
    <w:rsid w:val="00DA3AFC"/>
    <w:rsid w:val="00DA463F"/>
    <w:rsid w:val="00DA5574"/>
    <w:rsid w:val="00DA64F8"/>
    <w:rsid w:val="00DA6C15"/>
    <w:rsid w:val="00DB0258"/>
    <w:rsid w:val="00DB06BC"/>
    <w:rsid w:val="00DB38EE"/>
    <w:rsid w:val="00DB3EF7"/>
    <w:rsid w:val="00DB498B"/>
    <w:rsid w:val="00DB66CA"/>
    <w:rsid w:val="00DB6BCA"/>
    <w:rsid w:val="00DB6F54"/>
    <w:rsid w:val="00DB73F7"/>
    <w:rsid w:val="00DC0321"/>
    <w:rsid w:val="00DC111E"/>
    <w:rsid w:val="00DC3067"/>
    <w:rsid w:val="00DC370B"/>
    <w:rsid w:val="00DC5B90"/>
    <w:rsid w:val="00DD00FF"/>
    <w:rsid w:val="00DD0619"/>
    <w:rsid w:val="00DD07FB"/>
    <w:rsid w:val="00DD25C6"/>
    <w:rsid w:val="00DD27DC"/>
    <w:rsid w:val="00DD2998"/>
    <w:rsid w:val="00DD4FE5"/>
    <w:rsid w:val="00DD53E6"/>
    <w:rsid w:val="00DD54B0"/>
    <w:rsid w:val="00DD57EE"/>
    <w:rsid w:val="00DD65DB"/>
    <w:rsid w:val="00DD6BCC"/>
    <w:rsid w:val="00DE0A4B"/>
    <w:rsid w:val="00DE2410"/>
    <w:rsid w:val="00DE2939"/>
    <w:rsid w:val="00DE6E81"/>
    <w:rsid w:val="00DE703F"/>
    <w:rsid w:val="00DE7595"/>
    <w:rsid w:val="00DF1961"/>
    <w:rsid w:val="00DF44DE"/>
    <w:rsid w:val="00DF45C2"/>
    <w:rsid w:val="00E01138"/>
    <w:rsid w:val="00E02DFB"/>
    <w:rsid w:val="00E0306A"/>
    <w:rsid w:val="00E030F9"/>
    <w:rsid w:val="00E0311A"/>
    <w:rsid w:val="00E03138"/>
    <w:rsid w:val="00E03D6C"/>
    <w:rsid w:val="00E06404"/>
    <w:rsid w:val="00E06DCA"/>
    <w:rsid w:val="00E10283"/>
    <w:rsid w:val="00E11A85"/>
    <w:rsid w:val="00E12495"/>
    <w:rsid w:val="00E15CCD"/>
    <w:rsid w:val="00E202EF"/>
    <w:rsid w:val="00E210B5"/>
    <w:rsid w:val="00E21867"/>
    <w:rsid w:val="00E2552F"/>
    <w:rsid w:val="00E3137A"/>
    <w:rsid w:val="00E32CCF"/>
    <w:rsid w:val="00E34A98"/>
    <w:rsid w:val="00E35D1E"/>
    <w:rsid w:val="00E364F9"/>
    <w:rsid w:val="00E365FA"/>
    <w:rsid w:val="00E36789"/>
    <w:rsid w:val="00E44A83"/>
    <w:rsid w:val="00E5011D"/>
    <w:rsid w:val="00E502C1"/>
    <w:rsid w:val="00E502DD"/>
    <w:rsid w:val="00E50D3A"/>
    <w:rsid w:val="00E51387"/>
    <w:rsid w:val="00E51E68"/>
    <w:rsid w:val="00E52EFD"/>
    <w:rsid w:val="00E5408A"/>
    <w:rsid w:val="00E56800"/>
    <w:rsid w:val="00E60C63"/>
    <w:rsid w:val="00E62FF9"/>
    <w:rsid w:val="00E635D6"/>
    <w:rsid w:val="00E639BC"/>
    <w:rsid w:val="00E664CC"/>
    <w:rsid w:val="00E70388"/>
    <w:rsid w:val="00E70F92"/>
    <w:rsid w:val="00E74313"/>
    <w:rsid w:val="00E74C54"/>
    <w:rsid w:val="00E76F05"/>
    <w:rsid w:val="00E77A03"/>
    <w:rsid w:val="00E80F75"/>
    <w:rsid w:val="00E822E8"/>
    <w:rsid w:val="00E82554"/>
    <w:rsid w:val="00E82606"/>
    <w:rsid w:val="00E831C1"/>
    <w:rsid w:val="00E846C8"/>
    <w:rsid w:val="00E84957"/>
    <w:rsid w:val="00E84A55"/>
    <w:rsid w:val="00E858CF"/>
    <w:rsid w:val="00E85BFF"/>
    <w:rsid w:val="00E90391"/>
    <w:rsid w:val="00E906C2"/>
    <w:rsid w:val="00E92542"/>
    <w:rsid w:val="00E9311F"/>
    <w:rsid w:val="00E934D1"/>
    <w:rsid w:val="00E94AF0"/>
    <w:rsid w:val="00E95D13"/>
    <w:rsid w:val="00E95DD3"/>
    <w:rsid w:val="00E969D5"/>
    <w:rsid w:val="00EA0874"/>
    <w:rsid w:val="00EA273D"/>
    <w:rsid w:val="00EA2863"/>
    <w:rsid w:val="00EA3739"/>
    <w:rsid w:val="00EA58D1"/>
    <w:rsid w:val="00EA61BC"/>
    <w:rsid w:val="00EA681A"/>
    <w:rsid w:val="00EA735B"/>
    <w:rsid w:val="00EB1045"/>
    <w:rsid w:val="00EB1E69"/>
    <w:rsid w:val="00EB2086"/>
    <w:rsid w:val="00EB31ED"/>
    <w:rsid w:val="00EB5EDF"/>
    <w:rsid w:val="00EB60FE"/>
    <w:rsid w:val="00EB6169"/>
    <w:rsid w:val="00EB74DB"/>
    <w:rsid w:val="00EC0575"/>
    <w:rsid w:val="00EC17D5"/>
    <w:rsid w:val="00EC23E2"/>
    <w:rsid w:val="00EC48B2"/>
    <w:rsid w:val="00EC5359"/>
    <w:rsid w:val="00EC562A"/>
    <w:rsid w:val="00EC6299"/>
    <w:rsid w:val="00ED067A"/>
    <w:rsid w:val="00ED0AC2"/>
    <w:rsid w:val="00ED2409"/>
    <w:rsid w:val="00ED2687"/>
    <w:rsid w:val="00ED2B50"/>
    <w:rsid w:val="00ED65AC"/>
    <w:rsid w:val="00EE0350"/>
    <w:rsid w:val="00EE0719"/>
    <w:rsid w:val="00EE0E80"/>
    <w:rsid w:val="00EE4AE2"/>
    <w:rsid w:val="00EE613F"/>
    <w:rsid w:val="00EE7295"/>
    <w:rsid w:val="00EE7869"/>
    <w:rsid w:val="00EF054A"/>
    <w:rsid w:val="00EF13A3"/>
    <w:rsid w:val="00EF3235"/>
    <w:rsid w:val="00EF7E72"/>
    <w:rsid w:val="00F019D9"/>
    <w:rsid w:val="00F06D37"/>
    <w:rsid w:val="00F07B9D"/>
    <w:rsid w:val="00F11586"/>
    <w:rsid w:val="00F1183B"/>
    <w:rsid w:val="00F11C9F"/>
    <w:rsid w:val="00F12263"/>
    <w:rsid w:val="00F1409D"/>
    <w:rsid w:val="00F141A9"/>
    <w:rsid w:val="00F14214"/>
    <w:rsid w:val="00F157A9"/>
    <w:rsid w:val="00F16F00"/>
    <w:rsid w:val="00F2454F"/>
    <w:rsid w:val="00F25BB6"/>
    <w:rsid w:val="00F26B7E"/>
    <w:rsid w:val="00F27A3B"/>
    <w:rsid w:val="00F304C8"/>
    <w:rsid w:val="00F32780"/>
    <w:rsid w:val="00F33817"/>
    <w:rsid w:val="00F4205D"/>
    <w:rsid w:val="00F420D5"/>
    <w:rsid w:val="00F451EA"/>
    <w:rsid w:val="00F45447"/>
    <w:rsid w:val="00F456C6"/>
    <w:rsid w:val="00F4577B"/>
    <w:rsid w:val="00F46496"/>
    <w:rsid w:val="00F474D0"/>
    <w:rsid w:val="00F47C7E"/>
    <w:rsid w:val="00F50179"/>
    <w:rsid w:val="00F515EE"/>
    <w:rsid w:val="00F54EC3"/>
    <w:rsid w:val="00F56511"/>
    <w:rsid w:val="00F56748"/>
    <w:rsid w:val="00F6194E"/>
    <w:rsid w:val="00F623AC"/>
    <w:rsid w:val="00F6412A"/>
    <w:rsid w:val="00F65893"/>
    <w:rsid w:val="00F66A4A"/>
    <w:rsid w:val="00F71E22"/>
    <w:rsid w:val="00F72142"/>
    <w:rsid w:val="00F72AE7"/>
    <w:rsid w:val="00F74F0A"/>
    <w:rsid w:val="00F806AB"/>
    <w:rsid w:val="00F80FFC"/>
    <w:rsid w:val="00F810A8"/>
    <w:rsid w:val="00F833BA"/>
    <w:rsid w:val="00F84FD0"/>
    <w:rsid w:val="00F859A8"/>
    <w:rsid w:val="00F86D87"/>
    <w:rsid w:val="00F9047D"/>
    <w:rsid w:val="00F9108B"/>
    <w:rsid w:val="00F91349"/>
    <w:rsid w:val="00F93A8A"/>
    <w:rsid w:val="00F95248"/>
    <w:rsid w:val="00F956A9"/>
    <w:rsid w:val="00F95B1E"/>
    <w:rsid w:val="00F963ED"/>
    <w:rsid w:val="00F966CF"/>
    <w:rsid w:val="00F96CAE"/>
    <w:rsid w:val="00F97C99"/>
    <w:rsid w:val="00FA0E7D"/>
    <w:rsid w:val="00FA1151"/>
    <w:rsid w:val="00FA1C3E"/>
    <w:rsid w:val="00FA662D"/>
    <w:rsid w:val="00FA73B1"/>
    <w:rsid w:val="00FB052D"/>
    <w:rsid w:val="00FB0CB9"/>
    <w:rsid w:val="00FB231D"/>
    <w:rsid w:val="00FB2ADB"/>
    <w:rsid w:val="00FB45F1"/>
    <w:rsid w:val="00FB4A72"/>
    <w:rsid w:val="00FB54E8"/>
    <w:rsid w:val="00FB5AE0"/>
    <w:rsid w:val="00FB7054"/>
    <w:rsid w:val="00FC17B7"/>
    <w:rsid w:val="00FC2266"/>
    <w:rsid w:val="00FC2343"/>
    <w:rsid w:val="00FC2CB7"/>
    <w:rsid w:val="00FC32D9"/>
    <w:rsid w:val="00FC4090"/>
    <w:rsid w:val="00FC50A3"/>
    <w:rsid w:val="00FC5430"/>
    <w:rsid w:val="00FC55B4"/>
    <w:rsid w:val="00FC58FD"/>
    <w:rsid w:val="00FD00E6"/>
    <w:rsid w:val="00FD09A1"/>
    <w:rsid w:val="00FD2A7C"/>
    <w:rsid w:val="00FD59EB"/>
    <w:rsid w:val="00FD7299"/>
    <w:rsid w:val="00FE1C39"/>
    <w:rsid w:val="00FE1FBE"/>
    <w:rsid w:val="00FE3901"/>
    <w:rsid w:val="00FE39D3"/>
    <w:rsid w:val="00FE41B9"/>
    <w:rsid w:val="00FE4BCE"/>
    <w:rsid w:val="00FE54AE"/>
    <w:rsid w:val="00FE576A"/>
    <w:rsid w:val="00FE61B9"/>
    <w:rsid w:val="00FE7E79"/>
    <w:rsid w:val="00FF07AD"/>
    <w:rsid w:val="00FF3E7D"/>
    <w:rsid w:val="00FF5B99"/>
    <w:rsid w:val="00FF730C"/>
    <w:rsid w:val="00FF73F4"/>
    <w:rsid w:val="00FF7CE4"/>
    <w:rsid w:val="00FF7E39"/>
    <w:rsid w:val="00FF7F87"/>
    <w:rsid w:val="024E0996"/>
    <w:rsid w:val="0430275A"/>
    <w:rsid w:val="04B65F99"/>
    <w:rsid w:val="06F3181D"/>
    <w:rsid w:val="07131EBF"/>
    <w:rsid w:val="09371E95"/>
    <w:rsid w:val="0B0052A5"/>
    <w:rsid w:val="0B2B3C7B"/>
    <w:rsid w:val="0B7C5866"/>
    <w:rsid w:val="0BD31C1D"/>
    <w:rsid w:val="0C9C64B3"/>
    <w:rsid w:val="0D2E35AF"/>
    <w:rsid w:val="0D782A7C"/>
    <w:rsid w:val="0E107158"/>
    <w:rsid w:val="0E4A45EC"/>
    <w:rsid w:val="0EAC0C2F"/>
    <w:rsid w:val="11D02E86"/>
    <w:rsid w:val="14E7513E"/>
    <w:rsid w:val="16571DC8"/>
    <w:rsid w:val="18F51424"/>
    <w:rsid w:val="19D76D7C"/>
    <w:rsid w:val="1A2975D8"/>
    <w:rsid w:val="1A3D7527"/>
    <w:rsid w:val="1AAC1FB7"/>
    <w:rsid w:val="1B4548E5"/>
    <w:rsid w:val="1B75684C"/>
    <w:rsid w:val="1BA17641"/>
    <w:rsid w:val="1C215E07"/>
    <w:rsid w:val="1CD777BF"/>
    <w:rsid w:val="1CE343B6"/>
    <w:rsid w:val="1D892481"/>
    <w:rsid w:val="1E201B9E"/>
    <w:rsid w:val="1E340C41"/>
    <w:rsid w:val="1E546D62"/>
    <w:rsid w:val="1EE8604C"/>
    <w:rsid w:val="1EF02DBA"/>
    <w:rsid w:val="1FB11394"/>
    <w:rsid w:val="20B04BC0"/>
    <w:rsid w:val="219C4B33"/>
    <w:rsid w:val="228804BE"/>
    <w:rsid w:val="23DE58D7"/>
    <w:rsid w:val="243A0633"/>
    <w:rsid w:val="24A00DDE"/>
    <w:rsid w:val="24B71C84"/>
    <w:rsid w:val="25D845A8"/>
    <w:rsid w:val="281F64BE"/>
    <w:rsid w:val="284B2E0F"/>
    <w:rsid w:val="2916166F"/>
    <w:rsid w:val="299F78B6"/>
    <w:rsid w:val="29AA1DB7"/>
    <w:rsid w:val="29F04E43"/>
    <w:rsid w:val="2A16744D"/>
    <w:rsid w:val="2B4F2C16"/>
    <w:rsid w:val="2C2760EF"/>
    <w:rsid w:val="2D502C75"/>
    <w:rsid w:val="2E782484"/>
    <w:rsid w:val="30A77050"/>
    <w:rsid w:val="321F3244"/>
    <w:rsid w:val="32586854"/>
    <w:rsid w:val="32696EEA"/>
    <w:rsid w:val="32902492"/>
    <w:rsid w:val="33295594"/>
    <w:rsid w:val="333472C1"/>
    <w:rsid w:val="36B9188B"/>
    <w:rsid w:val="38593326"/>
    <w:rsid w:val="38DD5D05"/>
    <w:rsid w:val="3A543DA5"/>
    <w:rsid w:val="3A6B10EF"/>
    <w:rsid w:val="3B561D9F"/>
    <w:rsid w:val="3EDC6A5F"/>
    <w:rsid w:val="3FD87226"/>
    <w:rsid w:val="40F24318"/>
    <w:rsid w:val="41230975"/>
    <w:rsid w:val="4162149D"/>
    <w:rsid w:val="41B25855"/>
    <w:rsid w:val="41B45A71"/>
    <w:rsid w:val="43655275"/>
    <w:rsid w:val="43754D8C"/>
    <w:rsid w:val="437E6337"/>
    <w:rsid w:val="45486BFC"/>
    <w:rsid w:val="46222FA9"/>
    <w:rsid w:val="48A91760"/>
    <w:rsid w:val="495C67D2"/>
    <w:rsid w:val="4ABE526B"/>
    <w:rsid w:val="4BFC604B"/>
    <w:rsid w:val="4CDE39A2"/>
    <w:rsid w:val="4DD52FF7"/>
    <w:rsid w:val="4E2B70BB"/>
    <w:rsid w:val="4EC217CD"/>
    <w:rsid w:val="4F1A33B7"/>
    <w:rsid w:val="51220301"/>
    <w:rsid w:val="513B13C3"/>
    <w:rsid w:val="51426BF5"/>
    <w:rsid w:val="527C6137"/>
    <w:rsid w:val="52866FBA"/>
    <w:rsid w:val="52950FA7"/>
    <w:rsid w:val="53C03E02"/>
    <w:rsid w:val="555C286F"/>
    <w:rsid w:val="56660C90"/>
    <w:rsid w:val="570A5ABF"/>
    <w:rsid w:val="57743881"/>
    <w:rsid w:val="57D367F9"/>
    <w:rsid w:val="589A2E73"/>
    <w:rsid w:val="58E6255C"/>
    <w:rsid w:val="59A815C0"/>
    <w:rsid w:val="5A921F54"/>
    <w:rsid w:val="5AF31186"/>
    <w:rsid w:val="5B0171D9"/>
    <w:rsid w:val="5B1A029B"/>
    <w:rsid w:val="5C797243"/>
    <w:rsid w:val="5CDD77D2"/>
    <w:rsid w:val="5CE852C8"/>
    <w:rsid w:val="609D5BF6"/>
    <w:rsid w:val="610F0176"/>
    <w:rsid w:val="62EC076F"/>
    <w:rsid w:val="659155FE"/>
    <w:rsid w:val="66081D64"/>
    <w:rsid w:val="682B1D3A"/>
    <w:rsid w:val="68F71C1C"/>
    <w:rsid w:val="69236EB5"/>
    <w:rsid w:val="69A71894"/>
    <w:rsid w:val="69BB0E9B"/>
    <w:rsid w:val="69CC4E56"/>
    <w:rsid w:val="6B555ED8"/>
    <w:rsid w:val="6CDE737B"/>
    <w:rsid w:val="6DDF784E"/>
    <w:rsid w:val="6E5042A8"/>
    <w:rsid w:val="6EAB49B1"/>
    <w:rsid w:val="6F2B261F"/>
    <w:rsid w:val="6F71097A"/>
    <w:rsid w:val="6FA128E1"/>
    <w:rsid w:val="7012558D"/>
    <w:rsid w:val="71D84CE0"/>
    <w:rsid w:val="74042BF6"/>
    <w:rsid w:val="74855E9C"/>
    <w:rsid w:val="74B51309"/>
    <w:rsid w:val="75C8506C"/>
    <w:rsid w:val="77286DE9"/>
    <w:rsid w:val="7791148D"/>
    <w:rsid w:val="77B238DE"/>
    <w:rsid w:val="78C57641"/>
    <w:rsid w:val="7A2B3E1B"/>
    <w:rsid w:val="7BC650A0"/>
    <w:rsid w:val="7D8C2E23"/>
    <w:rsid w:val="7E5C0A47"/>
    <w:rsid w:val="7F74591C"/>
    <w:rsid w:val="7FFA051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8"/>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9"/>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40"/>
    <w:qFormat/>
    <w:uiPriority w:val="0"/>
    <w:pPr>
      <w:keepNext/>
      <w:keepLines/>
      <w:spacing w:before="260" w:after="260" w:line="416" w:lineRule="auto"/>
      <w:outlineLvl w:val="2"/>
    </w:pPr>
    <w:rPr>
      <w:b/>
      <w:bCs/>
      <w:sz w:val="32"/>
      <w:szCs w:val="32"/>
    </w:rPr>
  </w:style>
  <w:style w:type="paragraph" w:styleId="5">
    <w:name w:val="heading 4"/>
    <w:basedOn w:val="1"/>
    <w:next w:val="1"/>
    <w:link w:val="41"/>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42"/>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43"/>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4"/>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5"/>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6"/>
    <w:qFormat/>
    <w:uiPriority w:val="0"/>
    <w:pPr>
      <w:keepNext/>
      <w:keepLines/>
      <w:adjustRightInd/>
      <w:spacing w:before="240" w:after="64" w:line="320" w:lineRule="auto"/>
      <w:outlineLvl w:val="8"/>
    </w:pPr>
    <w:rPr>
      <w:rFonts w:ascii="Arial" w:hAnsi="Arial" w:eastAsia="黑体"/>
    </w:rPr>
  </w:style>
  <w:style w:type="character" w:default="1" w:styleId="31">
    <w:name w:val="Default Paragraph Font"/>
    <w:semiHidden/>
    <w:unhideWhenUsed/>
    <w:qFormat/>
    <w:uiPriority w:val="1"/>
  </w:style>
  <w:style w:type="table" w:default="1" w:styleId="29">
    <w:name w:val="Normal Table"/>
    <w:semiHidden/>
    <w:unhideWhenUsed/>
    <w:uiPriority w:val="99"/>
    <w:tblPr>
      <w:tblCellMar>
        <w:top w:w="0" w:type="dxa"/>
        <w:left w:w="108" w:type="dxa"/>
        <w:bottom w:w="0" w:type="dxa"/>
        <w:right w:w="108" w:type="dxa"/>
      </w:tblCellMar>
    </w:tblPr>
  </w:style>
  <w:style w:type="paragraph" w:styleId="11">
    <w:name w:val="toc 7"/>
    <w:basedOn w:val="1"/>
    <w:next w:val="1"/>
    <w:unhideWhenUsed/>
    <w:qFormat/>
    <w:uiPriority w:val="39"/>
    <w:pPr>
      <w:tabs>
        <w:tab w:val="right" w:leader="dot" w:pos="9344"/>
      </w:tabs>
      <w:spacing w:line="300" w:lineRule="exact"/>
      <w:ind w:left="1259"/>
    </w:pPr>
    <w:rPr>
      <w:rFonts w:ascii="宋体"/>
    </w:rPr>
  </w:style>
  <w:style w:type="paragraph" w:styleId="12">
    <w:name w:val="Normal Indent"/>
    <w:basedOn w:val="1"/>
    <w:qFormat/>
    <w:uiPriority w:val="0"/>
    <w:pPr>
      <w:ind w:firstLine="420"/>
    </w:pPr>
  </w:style>
  <w:style w:type="paragraph" w:styleId="13">
    <w:name w:val="annotation text"/>
    <w:basedOn w:val="1"/>
    <w:link w:val="234"/>
    <w:semiHidden/>
    <w:unhideWhenUsed/>
    <w:qFormat/>
    <w:uiPriority w:val="99"/>
    <w:pPr>
      <w:jc w:val="left"/>
    </w:pPr>
  </w:style>
  <w:style w:type="paragraph" w:styleId="14">
    <w:name w:val="Body Text"/>
    <w:basedOn w:val="1"/>
    <w:link w:val="90"/>
    <w:qFormat/>
    <w:uiPriority w:val="0"/>
    <w:pPr>
      <w:spacing w:after="120"/>
    </w:pPr>
  </w:style>
  <w:style w:type="paragraph" w:styleId="15">
    <w:name w:val="toc 5"/>
    <w:basedOn w:val="1"/>
    <w:next w:val="1"/>
    <w:unhideWhenUsed/>
    <w:qFormat/>
    <w:uiPriority w:val="39"/>
    <w:pPr>
      <w:ind w:left="839"/>
    </w:pPr>
    <w:rPr>
      <w:rFonts w:ascii="宋体"/>
    </w:rPr>
  </w:style>
  <w:style w:type="paragraph" w:styleId="16">
    <w:name w:val="toc 3"/>
    <w:basedOn w:val="1"/>
    <w:next w:val="1"/>
    <w:unhideWhenUsed/>
    <w:qFormat/>
    <w:uiPriority w:val="39"/>
    <w:pPr>
      <w:spacing w:line="300" w:lineRule="exact"/>
      <w:ind w:left="420"/>
    </w:pPr>
    <w:rPr>
      <w:rFonts w:ascii="宋体"/>
    </w:rPr>
  </w:style>
  <w:style w:type="paragraph" w:styleId="17">
    <w:name w:val="Balloon Text"/>
    <w:basedOn w:val="1"/>
    <w:link w:val="49"/>
    <w:semiHidden/>
    <w:unhideWhenUsed/>
    <w:qFormat/>
    <w:uiPriority w:val="99"/>
    <w:rPr>
      <w:sz w:val="18"/>
      <w:szCs w:val="18"/>
    </w:rPr>
  </w:style>
  <w:style w:type="paragraph" w:styleId="18">
    <w:name w:val="footer"/>
    <w:basedOn w:val="1"/>
    <w:link w:val="48"/>
    <w:qFormat/>
    <w:uiPriority w:val="99"/>
    <w:pPr>
      <w:tabs>
        <w:tab w:val="center" w:pos="4153"/>
        <w:tab w:val="right" w:pos="8306"/>
      </w:tabs>
      <w:adjustRightInd/>
      <w:snapToGrid w:val="0"/>
      <w:spacing w:line="240" w:lineRule="auto"/>
      <w:jc w:val="right"/>
    </w:pPr>
    <w:rPr>
      <w:rFonts w:ascii="宋体"/>
      <w:sz w:val="18"/>
      <w:szCs w:val="18"/>
    </w:rPr>
  </w:style>
  <w:style w:type="paragraph" w:styleId="19">
    <w:name w:val="header"/>
    <w:basedOn w:val="1"/>
    <w:link w:val="47"/>
    <w:qFormat/>
    <w:uiPriority w:val="99"/>
    <w:pPr>
      <w:tabs>
        <w:tab w:val="center" w:pos="4153"/>
        <w:tab w:val="right" w:pos="8306"/>
      </w:tabs>
      <w:adjustRightInd/>
      <w:snapToGrid w:val="0"/>
      <w:jc w:val="center"/>
    </w:pPr>
    <w:rPr>
      <w:sz w:val="18"/>
      <w:szCs w:val="18"/>
    </w:rPr>
  </w:style>
  <w:style w:type="paragraph" w:styleId="20">
    <w:name w:val="toc 1"/>
    <w:basedOn w:val="1"/>
    <w:next w:val="1"/>
    <w:unhideWhenUsed/>
    <w:qFormat/>
    <w:uiPriority w:val="39"/>
    <w:rPr>
      <w:rFonts w:ascii="宋体"/>
    </w:rPr>
  </w:style>
  <w:style w:type="paragraph" w:styleId="21">
    <w:name w:val="toc 4"/>
    <w:basedOn w:val="1"/>
    <w:next w:val="1"/>
    <w:unhideWhenUsed/>
    <w:qFormat/>
    <w:uiPriority w:val="39"/>
    <w:pPr>
      <w:tabs>
        <w:tab w:val="right" w:leader="dot" w:pos="9344"/>
      </w:tabs>
      <w:spacing w:line="300" w:lineRule="exact"/>
      <w:ind w:left="629"/>
    </w:pPr>
    <w:rPr>
      <w:rFonts w:ascii="宋体"/>
    </w:rPr>
  </w:style>
  <w:style w:type="paragraph" w:styleId="22">
    <w:name w:val="footnote text"/>
    <w:basedOn w:val="1"/>
    <w:next w:val="1"/>
    <w:link w:val="103"/>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3">
    <w:name w:val="toc 6"/>
    <w:basedOn w:val="1"/>
    <w:next w:val="1"/>
    <w:unhideWhenUsed/>
    <w:qFormat/>
    <w:uiPriority w:val="39"/>
    <w:pPr>
      <w:spacing w:line="300" w:lineRule="exact"/>
      <w:ind w:left="1049"/>
    </w:pPr>
    <w:rPr>
      <w:rFonts w:ascii="宋体"/>
    </w:rPr>
  </w:style>
  <w:style w:type="paragraph" w:styleId="24">
    <w:name w:val="table of figures"/>
    <w:basedOn w:val="1"/>
    <w:next w:val="1"/>
    <w:semiHidden/>
    <w:qFormat/>
    <w:uiPriority w:val="0"/>
    <w:pPr>
      <w:adjustRightInd/>
      <w:spacing w:line="240" w:lineRule="auto"/>
      <w:jc w:val="left"/>
    </w:pPr>
    <w:rPr>
      <w:szCs w:val="24"/>
    </w:rPr>
  </w:style>
  <w:style w:type="paragraph" w:styleId="25">
    <w:name w:val="toc 2"/>
    <w:basedOn w:val="1"/>
    <w:next w:val="1"/>
    <w:unhideWhenUsed/>
    <w:qFormat/>
    <w:uiPriority w:val="39"/>
    <w:pPr>
      <w:tabs>
        <w:tab w:val="right" w:leader="dot" w:pos="9344"/>
      </w:tabs>
      <w:spacing w:line="300" w:lineRule="exact"/>
      <w:ind w:left="210"/>
    </w:pPr>
    <w:rPr>
      <w:rFonts w:ascii="宋体"/>
    </w:rPr>
  </w:style>
  <w:style w:type="paragraph" w:styleId="26">
    <w:name w:val="Normal (Web)"/>
    <w:basedOn w:val="1"/>
    <w:semiHidden/>
    <w:unhideWhenUsed/>
    <w:qFormat/>
    <w:uiPriority w:val="99"/>
    <w:pPr>
      <w:spacing w:beforeAutospacing="1" w:afterAutospacing="1"/>
      <w:jc w:val="left"/>
    </w:pPr>
    <w:rPr>
      <w:kern w:val="0"/>
      <w:sz w:val="24"/>
    </w:rPr>
  </w:style>
  <w:style w:type="paragraph" w:styleId="27">
    <w:name w:val="Title"/>
    <w:basedOn w:val="1"/>
    <w:link w:val="52"/>
    <w:qFormat/>
    <w:uiPriority w:val="0"/>
    <w:pPr>
      <w:spacing w:before="240" w:after="60"/>
      <w:jc w:val="center"/>
      <w:outlineLvl w:val="0"/>
    </w:pPr>
    <w:rPr>
      <w:rFonts w:ascii="Arial" w:hAnsi="Arial" w:cs="Arial"/>
      <w:b/>
      <w:bCs/>
      <w:sz w:val="32"/>
      <w:szCs w:val="32"/>
    </w:rPr>
  </w:style>
  <w:style w:type="paragraph" w:styleId="28">
    <w:name w:val="annotation subject"/>
    <w:basedOn w:val="13"/>
    <w:next w:val="13"/>
    <w:link w:val="235"/>
    <w:semiHidden/>
    <w:unhideWhenUsed/>
    <w:qFormat/>
    <w:uiPriority w:val="99"/>
    <w:rPr>
      <w:b/>
      <w:bCs/>
    </w:rPr>
  </w:style>
  <w:style w:type="table" w:styleId="30">
    <w:name w:val="Table Grid"/>
    <w:basedOn w:val="29"/>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2">
    <w:name w:val="Strong"/>
    <w:qFormat/>
    <w:uiPriority w:val="22"/>
    <w:rPr>
      <w:b/>
      <w:bCs/>
    </w:rPr>
  </w:style>
  <w:style w:type="character" w:styleId="33">
    <w:name w:val="page number"/>
    <w:qFormat/>
    <w:uiPriority w:val="0"/>
    <w:rPr>
      <w:rFonts w:ascii="宋体" w:hAnsi="Times New Roman" w:eastAsia="宋体"/>
      <w:sz w:val="18"/>
    </w:rPr>
  </w:style>
  <w:style w:type="character" w:styleId="34">
    <w:name w:val="Emphasis"/>
    <w:qFormat/>
    <w:uiPriority w:val="20"/>
    <w:rPr>
      <w:i/>
      <w:iCs/>
    </w:rPr>
  </w:style>
  <w:style w:type="character" w:styleId="35">
    <w:name w:val="Hyperlink"/>
    <w:qFormat/>
    <w:uiPriority w:val="99"/>
    <w:rPr>
      <w:rFonts w:ascii="宋体" w:hAnsi="Times New Roman" w:eastAsia="宋体"/>
      <w:color w:val="auto"/>
      <w:spacing w:val="0"/>
      <w:w w:val="100"/>
      <w:position w:val="0"/>
      <w:sz w:val="21"/>
      <w:u w:val="none"/>
      <w:vertAlign w:val="baseline"/>
    </w:rPr>
  </w:style>
  <w:style w:type="character" w:styleId="36">
    <w:name w:val="annotation reference"/>
    <w:basedOn w:val="31"/>
    <w:semiHidden/>
    <w:unhideWhenUsed/>
    <w:qFormat/>
    <w:uiPriority w:val="99"/>
    <w:rPr>
      <w:sz w:val="21"/>
      <w:szCs w:val="21"/>
    </w:rPr>
  </w:style>
  <w:style w:type="character" w:styleId="37">
    <w:name w:val="footnote reference"/>
    <w:semiHidden/>
    <w:qFormat/>
    <w:uiPriority w:val="0"/>
    <w:rPr>
      <w:rFonts w:ascii="宋体" w:hAnsi="宋体" w:eastAsia="宋体" w:cs="Times New Roman"/>
      <w:spacing w:val="0"/>
      <w:sz w:val="18"/>
      <w:vertAlign w:val="superscript"/>
    </w:rPr>
  </w:style>
  <w:style w:type="character" w:customStyle="1" w:styleId="38">
    <w:name w:val="标题 1 字符"/>
    <w:link w:val="2"/>
    <w:qFormat/>
    <w:uiPriority w:val="0"/>
    <w:rPr>
      <w:b/>
      <w:bCs/>
      <w:kern w:val="44"/>
      <w:sz w:val="44"/>
      <w:szCs w:val="44"/>
    </w:rPr>
  </w:style>
  <w:style w:type="character" w:customStyle="1" w:styleId="39">
    <w:name w:val="标题 2 字符"/>
    <w:link w:val="3"/>
    <w:qFormat/>
    <w:uiPriority w:val="0"/>
    <w:rPr>
      <w:rFonts w:ascii="Arial" w:hAnsi="Arial" w:eastAsia="黑体"/>
      <w:b/>
      <w:bCs/>
      <w:kern w:val="2"/>
      <w:sz w:val="32"/>
      <w:szCs w:val="32"/>
    </w:rPr>
  </w:style>
  <w:style w:type="character" w:customStyle="1" w:styleId="40">
    <w:name w:val="标题 3 字符"/>
    <w:link w:val="4"/>
    <w:qFormat/>
    <w:uiPriority w:val="0"/>
    <w:rPr>
      <w:b/>
      <w:bCs/>
      <w:kern w:val="2"/>
      <w:sz w:val="32"/>
      <w:szCs w:val="32"/>
    </w:rPr>
  </w:style>
  <w:style w:type="character" w:customStyle="1" w:styleId="41">
    <w:name w:val="标题 4 字符"/>
    <w:link w:val="5"/>
    <w:qFormat/>
    <w:uiPriority w:val="0"/>
    <w:rPr>
      <w:rFonts w:ascii="Arial" w:hAnsi="Arial" w:eastAsia="黑体"/>
      <w:b/>
      <w:bCs/>
      <w:kern w:val="2"/>
      <w:sz w:val="28"/>
      <w:szCs w:val="28"/>
    </w:rPr>
  </w:style>
  <w:style w:type="character" w:customStyle="1" w:styleId="42">
    <w:name w:val="标题 5 字符"/>
    <w:link w:val="6"/>
    <w:qFormat/>
    <w:uiPriority w:val="0"/>
    <w:rPr>
      <w:b/>
      <w:bCs/>
      <w:kern w:val="2"/>
      <w:sz w:val="28"/>
      <w:szCs w:val="28"/>
    </w:rPr>
  </w:style>
  <w:style w:type="character" w:customStyle="1" w:styleId="43">
    <w:name w:val="标题 6 字符"/>
    <w:link w:val="7"/>
    <w:qFormat/>
    <w:uiPriority w:val="0"/>
    <w:rPr>
      <w:rFonts w:ascii="Arial" w:hAnsi="Arial" w:eastAsia="黑体"/>
      <w:b/>
      <w:bCs/>
      <w:kern w:val="2"/>
      <w:sz w:val="24"/>
      <w:szCs w:val="24"/>
    </w:rPr>
  </w:style>
  <w:style w:type="character" w:customStyle="1" w:styleId="44">
    <w:name w:val="标题 7 字符"/>
    <w:link w:val="8"/>
    <w:qFormat/>
    <w:uiPriority w:val="0"/>
    <w:rPr>
      <w:b/>
      <w:bCs/>
      <w:kern w:val="2"/>
      <w:sz w:val="24"/>
      <w:szCs w:val="24"/>
    </w:rPr>
  </w:style>
  <w:style w:type="character" w:customStyle="1" w:styleId="45">
    <w:name w:val="标题 8 字符"/>
    <w:link w:val="9"/>
    <w:qFormat/>
    <w:uiPriority w:val="0"/>
    <w:rPr>
      <w:rFonts w:ascii="Arial" w:hAnsi="Arial" w:eastAsia="黑体"/>
      <w:kern w:val="2"/>
      <w:sz w:val="24"/>
      <w:szCs w:val="24"/>
    </w:rPr>
  </w:style>
  <w:style w:type="character" w:customStyle="1" w:styleId="46">
    <w:name w:val="标题 9 字符"/>
    <w:link w:val="10"/>
    <w:qFormat/>
    <w:uiPriority w:val="0"/>
    <w:rPr>
      <w:rFonts w:ascii="Arial" w:hAnsi="Arial" w:eastAsia="黑体"/>
      <w:kern w:val="2"/>
      <w:sz w:val="21"/>
      <w:szCs w:val="21"/>
    </w:rPr>
  </w:style>
  <w:style w:type="character" w:customStyle="1" w:styleId="47">
    <w:name w:val="页眉 字符"/>
    <w:link w:val="19"/>
    <w:qFormat/>
    <w:uiPriority w:val="99"/>
    <w:rPr>
      <w:kern w:val="2"/>
      <w:sz w:val="18"/>
      <w:szCs w:val="18"/>
    </w:rPr>
  </w:style>
  <w:style w:type="character" w:customStyle="1" w:styleId="48">
    <w:name w:val="页脚 字符"/>
    <w:link w:val="18"/>
    <w:qFormat/>
    <w:uiPriority w:val="99"/>
    <w:rPr>
      <w:rFonts w:ascii="宋体"/>
      <w:kern w:val="2"/>
      <w:sz w:val="18"/>
      <w:szCs w:val="18"/>
    </w:rPr>
  </w:style>
  <w:style w:type="character" w:customStyle="1" w:styleId="49">
    <w:name w:val="批注框文本 字符"/>
    <w:link w:val="17"/>
    <w:semiHidden/>
    <w:qFormat/>
    <w:uiPriority w:val="99"/>
    <w:rPr>
      <w:kern w:val="2"/>
      <w:sz w:val="18"/>
      <w:szCs w:val="18"/>
    </w:rPr>
  </w:style>
  <w:style w:type="paragraph" w:styleId="50">
    <w:name w:val="Quote"/>
    <w:basedOn w:val="1"/>
    <w:next w:val="1"/>
    <w:link w:val="51"/>
    <w:qFormat/>
    <w:uiPriority w:val="29"/>
    <w:rPr>
      <w:i/>
      <w:iCs/>
      <w:color w:val="000000"/>
    </w:rPr>
  </w:style>
  <w:style w:type="character" w:customStyle="1" w:styleId="51">
    <w:name w:val="引用 字符"/>
    <w:link w:val="50"/>
    <w:qFormat/>
    <w:uiPriority w:val="29"/>
    <w:rPr>
      <w:i/>
      <w:iCs/>
      <w:color w:val="000000"/>
      <w:kern w:val="2"/>
      <w:sz w:val="21"/>
      <w:szCs w:val="21"/>
    </w:rPr>
  </w:style>
  <w:style w:type="character" w:customStyle="1" w:styleId="52">
    <w:name w:val="标题 字符"/>
    <w:link w:val="27"/>
    <w:qFormat/>
    <w:uiPriority w:val="0"/>
    <w:rPr>
      <w:rFonts w:ascii="Arial" w:hAnsi="Arial" w:cs="Arial"/>
      <w:b/>
      <w:bCs/>
      <w:kern w:val="2"/>
      <w:sz w:val="32"/>
      <w:szCs w:val="32"/>
    </w:rPr>
  </w:style>
  <w:style w:type="paragraph" w:customStyle="1" w:styleId="53">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4">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5">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6">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7">
    <w:name w:val="标准书眉一"/>
    <w:qFormat/>
    <w:uiPriority w:val="0"/>
    <w:pPr>
      <w:jc w:val="both"/>
    </w:pPr>
    <w:rPr>
      <w:rFonts w:ascii="Times New Roman" w:hAnsi="Times New Roman" w:eastAsia="宋体" w:cs="Times New Roman"/>
      <w:lang w:val="en-US" w:eastAsia="zh-CN" w:bidi="ar-SA"/>
    </w:rPr>
  </w:style>
  <w:style w:type="paragraph" w:customStyle="1" w:styleId="58">
    <w:name w:val="标准文件_ICS"/>
    <w:basedOn w:val="1"/>
    <w:qFormat/>
    <w:uiPriority w:val="0"/>
    <w:pPr>
      <w:spacing w:line="0" w:lineRule="atLeast"/>
    </w:pPr>
    <w:rPr>
      <w:rFonts w:ascii="黑体" w:hAnsi="宋体" w:eastAsia="黑体"/>
    </w:rPr>
  </w:style>
  <w:style w:type="paragraph" w:customStyle="1" w:styleId="59">
    <w:name w:val="标准文件_标准正文"/>
    <w:basedOn w:val="1"/>
    <w:next w:val="60"/>
    <w:qFormat/>
    <w:uiPriority w:val="0"/>
    <w:pPr>
      <w:snapToGrid w:val="0"/>
      <w:ind w:firstLine="200" w:firstLineChars="200"/>
    </w:pPr>
    <w:rPr>
      <w:kern w:val="0"/>
    </w:rPr>
  </w:style>
  <w:style w:type="paragraph" w:customStyle="1" w:styleId="60">
    <w:name w:val="标准文件_段"/>
    <w:link w:val="188"/>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61">
    <w:name w:val="标准文件_版本"/>
    <w:basedOn w:val="59"/>
    <w:qFormat/>
    <w:uiPriority w:val="0"/>
    <w:pPr>
      <w:adjustRightInd/>
      <w:snapToGrid/>
      <w:ind w:firstLine="0" w:firstLineChars="0"/>
    </w:pPr>
    <w:rPr>
      <w:rFonts w:ascii="宋体" w:hAnsi="宋体"/>
      <w:kern w:val="2"/>
    </w:rPr>
  </w:style>
  <w:style w:type="paragraph" w:customStyle="1" w:styleId="62">
    <w:name w:val="标准文件_标准部门"/>
    <w:basedOn w:val="1"/>
    <w:qFormat/>
    <w:uiPriority w:val="0"/>
    <w:pPr>
      <w:jc w:val="center"/>
    </w:pPr>
    <w:rPr>
      <w:rFonts w:ascii="黑体" w:eastAsia="黑体"/>
      <w:kern w:val="0"/>
      <w:sz w:val="44"/>
    </w:rPr>
  </w:style>
  <w:style w:type="paragraph" w:customStyle="1" w:styleId="63">
    <w:name w:val="标准文件_标准代替"/>
    <w:basedOn w:val="1"/>
    <w:next w:val="1"/>
    <w:qFormat/>
    <w:uiPriority w:val="0"/>
    <w:pPr>
      <w:spacing w:line="310" w:lineRule="exact"/>
      <w:jc w:val="right"/>
    </w:pPr>
    <w:rPr>
      <w:rFonts w:ascii="宋体" w:hAnsi="宋体"/>
      <w:kern w:val="0"/>
    </w:rPr>
  </w:style>
  <w:style w:type="paragraph" w:customStyle="1" w:styleId="64">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5">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6">
    <w:name w:val="标准文件_页眉偶数页"/>
    <w:basedOn w:val="65"/>
    <w:next w:val="1"/>
    <w:qFormat/>
    <w:uiPriority w:val="0"/>
    <w:pPr>
      <w:jc w:val="left"/>
    </w:pPr>
  </w:style>
  <w:style w:type="paragraph" w:customStyle="1" w:styleId="67">
    <w:name w:val="标准文件_参考文献标题"/>
    <w:basedOn w:val="1"/>
    <w:next w:val="1"/>
    <w:qFormat/>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68">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69">
    <w:name w:val="标准文件_二级条标题"/>
    <w:next w:val="60"/>
    <w:qFormat/>
    <w:uiPriority w:val="0"/>
    <w:pPr>
      <w:widowControl w:val="0"/>
      <w:numPr>
        <w:ilvl w:val="3"/>
        <w:numId w:val="2"/>
      </w:numPr>
      <w:spacing w:before="50" w:beforeLines="50" w:after="50" w:afterLines="50"/>
      <w:ind w:left="0"/>
      <w:jc w:val="both"/>
      <w:outlineLvl w:val="2"/>
    </w:pPr>
    <w:rPr>
      <w:rFonts w:ascii="黑体" w:hAnsi="Times New Roman" w:eastAsia="黑体" w:cs="Times New Roman"/>
      <w:sz w:val="21"/>
      <w:lang w:val="en-US" w:eastAsia="zh-CN" w:bidi="ar-SA"/>
    </w:rPr>
  </w:style>
  <w:style w:type="character" w:customStyle="1" w:styleId="70">
    <w:name w:val="标准文件_发布"/>
    <w:qFormat/>
    <w:uiPriority w:val="0"/>
    <w:rPr>
      <w:rFonts w:ascii="黑体" w:eastAsia="黑体"/>
      <w:spacing w:val="0"/>
      <w:w w:val="100"/>
      <w:position w:val="3"/>
      <w:sz w:val="28"/>
    </w:rPr>
  </w:style>
  <w:style w:type="paragraph" w:customStyle="1" w:styleId="71">
    <w:name w:val="标准文件_方框数字列项"/>
    <w:basedOn w:val="60"/>
    <w:qFormat/>
    <w:uiPriority w:val="0"/>
    <w:pPr>
      <w:numPr>
        <w:ilvl w:val="0"/>
        <w:numId w:val="3"/>
      </w:numPr>
      <w:ind w:firstLine="0" w:firstLineChars="0"/>
    </w:pPr>
  </w:style>
  <w:style w:type="paragraph" w:customStyle="1" w:styleId="72">
    <w:name w:val="标准文件_封面标准编号"/>
    <w:basedOn w:val="1"/>
    <w:next w:val="63"/>
    <w:qFormat/>
    <w:uiPriority w:val="0"/>
    <w:pPr>
      <w:spacing w:line="310" w:lineRule="exact"/>
      <w:jc w:val="right"/>
    </w:pPr>
    <w:rPr>
      <w:rFonts w:ascii="黑体" w:eastAsia="黑体"/>
      <w:kern w:val="0"/>
      <w:sz w:val="28"/>
    </w:rPr>
  </w:style>
  <w:style w:type="paragraph" w:customStyle="1" w:styleId="73">
    <w:name w:val="标准文件_封面标准分类号"/>
    <w:basedOn w:val="1"/>
    <w:qFormat/>
    <w:uiPriority w:val="0"/>
    <w:rPr>
      <w:rFonts w:ascii="黑体" w:eastAsia="黑体"/>
      <w:b/>
      <w:kern w:val="0"/>
      <w:sz w:val="28"/>
    </w:rPr>
  </w:style>
  <w:style w:type="paragraph" w:customStyle="1" w:styleId="74">
    <w:name w:val="标准文件_封面标准名称"/>
    <w:basedOn w:val="1"/>
    <w:qFormat/>
    <w:uiPriority w:val="0"/>
    <w:pPr>
      <w:spacing w:line="240" w:lineRule="auto"/>
      <w:jc w:val="center"/>
    </w:pPr>
    <w:rPr>
      <w:rFonts w:ascii="黑体" w:eastAsia="黑体"/>
      <w:kern w:val="0"/>
      <w:sz w:val="52"/>
    </w:rPr>
  </w:style>
  <w:style w:type="paragraph" w:customStyle="1" w:styleId="75">
    <w:name w:val="标准文件_封面标准英文名称"/>
    <w:basedOn w:val="1"/>
    <w:qFormat/>
    <w:uiPriority w:val="0"/>
    <w:pPr>
      <w:spacing w:line="240" w:lineRule="auto"/>
      <w:jc w:val="center"/>
    </w:pPr>
    <w:rPr>
      <w:rFonts w:ascii="黑体" w:eastAsia="黑体"/>
      <w:b/>
      <w:sz w:val="28"/>
    </w:rPr>
  </w:style>
  <w:style w:type="paragraph" w:customStyle="1" w:styleId="76">
    <w:name w:val="标准文件_封面发布日期"/>
    <w:basedOn w:val="1"/>
    <w:qFormat/>
    <w:uiPriority w:val="0"/>
    <w:pPr>
      <w:spacing w:line="310" w:lineRule="exact"/>
    </w:pPr>
    <w:rPr>
      <w:rFonts w:ascii="黑体" w:eastAsia="黑体"/>
      <w:kern w:val="0"/>
      <w:sz w:val="28"/>
    </w:rPr>
  </w:style>
  <w:style w:type="paragraph" w:customStyle="1" w:styleId="77">
    <w:name w:val="标准文件_封面密级"/>
    <w:basedOn w:val="1"/>
    <w:qFormat/>
    <w:uiPriority w:val="0"/>
    <w:rPr>
      <w:rFonts w:eastAsia="黑体"/>
      <w:sz w:val="32"/>
    </w:rPr>
  </w:style>
  <w:style w:type="paragraph" w:customStyle="1" w:styleId="78">
    <w:name w:val="标准文件_封面实施日期"/>
    <w:basedOn w:val="1"/>
    <w:qFormat/>
    <w:uiPriority w:val="0"/>
    <w:pPr>
      <w:spacing w:line="310" w:lineRule="exact"/>
      <w:jc w:val="right"/>
    </w:pPr>
    <w:rPr>
      <w:rFonts w:ascii="黑体" w:eastAsia="黑体"/>
      <w:sz w:val="28"/>
    </w:rPr>
  </w:style>
  <w:style w:type="paragraph" w:customStyle="1" w:styleId="79">
    <w:name w:val="标准文件_封面抬头"/>
    <w:basedOn w:val="60"/>
    <w:qFormat/>
    <w:uiPriority w:val="0"/>
    <w:pPr>
      <w:adjustRightInd w:val="0"/>
      <w:spacing w:line="800" w:lineRule="exact"/>
      <w:ind w:firstLine="0" w:firstLineChars="0"/>
      <w:jc w:val="distribute"/>
    </w:pPr>
    <w:rPr>
      <w:rFonts w:ascii="黑体" w:eastAsia="黑体"/>
      <w:b/>
      <w:sz w:val="64"/>
    </w:rPr>
  </w:style>
  <w:style w:type="paragraph" w:customStyle="1" w:styleId="80">
    <w:name w:val="标准文件_附录标识"/>
    <w:next w:val="60"/>
    <w:qFormat/>
    <w:uiPriority w:val="0"/>
    <w:pPr>
      <w:numPr>
        <w:ilvl w:val="0"/>
        <w:numId w:val="4"/>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81">
    <w:name w:val="标准文件_附录表标题"/>
    <w:next w:val="60"/>
    <w:qFormat/>
    <w:uiPriority w:val="0"/>
    <w:pPr>
      <w:numPr>
        <w:ilvl w:val="1"/>
        <w:numId w:val="5"/>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82">
    <w:name w:val="标准文件_附录一级条标题"/>
    <w:next w:val="60"/>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83">
    <w:name w:val="标准文件_附录二级条标题"/>
    <w:basedOn w:val="82"/>
    <w:next w:val="60"/>
    <w:qFormat/>
    <w:uiPriority w:val="0"/>
    <w:pPr>
      <w:widowControl/>
      <w:numPr>
        <w:ilvl w:val="2"/>
      </w:numPr>
      <w:wordWrap w:val="0"/>
      <w:overflowPunct w:val="0"/>
      <w:autoSpaceDE w:val="0"/>
      <w:autoSpaceDN w:val="0"/>
      <w:textAlignment w:val="baseline"/>
      <w:outlineLvl w:val="3"/>
    </w:pPr>
  </w:style>
  <w:style w:type="paragraph" w:customStyle="1" w:styleId="84">
    <w:name w:val="标准文件_附录公式"/>
    <w:basedOn w:val="59"/>
    <w:next w:val="59"/>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5">
    <w:name w:val="标准文件_附录三级条标题"/>
    <w:next w:val="60"/>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6">
    <w:name w:val="标准文件_附录四级条标题"/>
    <w:next w:val="60"/>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7">
    <w:name w:val="标准文件_附录图标题"/>
    <w:next w:val="60"/>
    <w:qFormat/>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88">
    <w:name w:val="标准文件_附录五级条标题"/>
    <w:next w:val="60"/>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9">
    <w:name w:val="标准文件_附录英文标识"/>
    <w:next w:val="14"/>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90">
    <w:name w:val="正文文本 字符"/>
    <w:link w:val="14"/>
    <w:qFormat/>
    <w:uiPriority w:val="0"/>
    <w:rPr>
      <w:kern w:val="2"/>
      <w:sz w:val="21"/>
      <w:szCs w:val="21"/>
    </w:rPr>
  </w:style>
  <w:style w:type="paragraph" w:customStyle="1" w:styleId="91">
    <w:name w:val="标准文件_附录章标题"/>
    <w:next w:val="60"/>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92">
    <w:name w:val="标准文件_公式后的破折号"/>
    <w:basedOn w:val="60"/>
    <w:next w:val="60"/>
    <w:qFormat/>
    <w:uiPriority w:val="0"/>
    <w:pPr>
      <w:ind w:left="488" w:leftChars="200" w:hanging="289" w:hangingChars="290"/>
    </w:pPr>
  </w:style>
  <w:style w:type="paragraph" w:customStyle="1" w:styleId="93">
    <w:name w:val="标准文件_前言、引言标题"/>
    <w:next w:val="1"/>
    <w:qFormat/>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94">
    <w:name w:val="标准文件_目次、标准名称标题"/>
    <w:basedOn w:val="93"/>
    <w:next w:val="60"/>
    <w:qFormat/>
    <w:uiPriority w:val="0"/>
    <w:pPr>
      <w:spacing w:line="460" w:lineRule="exact"/>
      <w:ind w:left="0" w:firstLine="0"/>
    </w:pPr>
  </w:style>
  <w:style w:type="paragraph" w:customStyle="1" w:styleId="95">
    <w:name w:val="标准文件_目录标题"/>
    <w:basedOn w:val="1"/>
    <w:qFormat/>
    <w:uiPriority w:val="0"/>
    <w:pPr>
      <w:spacing w:before="480" w:after="150" w:afterLines="150" w:line="240" w:lineRule="auto"/>
      <w:jc w:val="center"/>
    </w:pPr>
    <w:rPr>
      <w:rFonts w:ascii="黑体" w:eastAsia="黑体"/>
      <w:sz w:val="32"/>
    </w:rPr>
  </w:style>
  <w:style w:type="paragraph" w:customStyle="1" w:styleId="96">
    <w:name w:val="标准文件_破折号列项"/>
    <w:qFormat/>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7">
    <w:name w:val="标准文件_破折号列项（二级）"/>
    <w:basedOn w:val="96"/>
    <w:qFormat/>
    <w:uiPriority w:val="0"/>
    <w:pPr>
      <w:numPr>
        <w:numId w:val="10"/>
      </w:numPr>
    </w:pPr>
  </w:style>
  <w:style w:type="paragraph" w:customStyle="1" w:styleId="98">
    <w:name w:val="标准文件_三级条标题"/>
    <w:basedOn w:val="69"/>
    <w:next w:val="60"/>
    <w:qFormat/>
    <w:uiPriority w:val="0"/>
    <w:pPr>
      <w:widowControl/>
      <w:numPr>
        <w:ilvl w:val="4"/>
      </w:numPr>
      <w:outlineLvl w:val="3"/>
    </w:pPr>
  </w:style>
  <w:style w:type="character" w:customStyle="1" w:styleId="99">
    <w:name w:val="不明显参考1"/>
    <w:qFormat/>
    <w:uiPriority w:val="31"/>
    <w:rPr>
      <w:smallCaps/>
      <w:color w:val="C0504D"/>
      <w:u w:val="single"/>
    </w:rPr>
  </w:style>
  <w:style w:type="paragraph" w:customStyle="1" w:styleId="100">
    <w:name w:val="标准文件_示例后续"/>
    <w:basedOn w:val="1"/>
    <w:qFormat/>
    <w:uiPriority w:val="0"/>
    <w:pPr>
      <w:adjustRightInd/>
      <w:spacing w:line="240" w:lineRule="auto"/>
      <w:ind w:firstLine="200" w:firstLineChars="200"/>
    </w:pPr>
    <w:rPr>
      <w:sz w:val="18"/>
      <w:szCs w:val="24"/>
    </w:rPr>
  </w:style>
  <w:style w:type="paragraph" w:customStyle="1" w:styleId="101">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102">
    <w:name w:val="标准文件_四级条标题"/>
    <w:next w:val="60"/>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103">
    <w:name w:val="脚注文本 字符"/>
    <w:link w:val="22"/>
    <w:semiHidden/>
    <w:qFormat/>
    <w:uiPriority w:val="0"/>
    <w:rPr>
      <w:rFonts w:ascii="宋体"/>
      <w:kern w:val="2"/>
      <w:sz w:val="18"/>
      <w:szCs w:val="18"/>
    </w:rPr>
  </w:style>
  <w:style w:type="paragraph" w:customStyle="1" w:styleId="104">
    <w:name w:val="标准文件_条文脚注"/>
    <w:basedOn w:val="22"/>
    <w:qFormat/>
    <w:uiPriority w:val="0"/>
    <w:pPr>
      <w:adjustRightInd w:val="0"/>
      <w:spacing w:line="240" w:lineRule="auto"/>
      <w:ind w:left="0" w:leftChars="0" w:firstLine="200" w:firstLineChars="200"/>
      <w:jc w:val="both"/>
    </w:pPr>
    <w:rPr>
      <w:rFonts w:hAnsi="宋体"/>
    </w:rPr>
  </w:style>
  <w:style w:type="paragraph" w:customStyle="1" w:styleId="105">
    <w:name w:val="标准文件_图表脚注"/>
    <w:basedOn w:val="1"/>
    <w:next w:val="60"/>
    <w:qFormat/>
    <w:uiPriority w:val="0"/>
    <w:pPr>
      <w:numPr>
        <w:ilvl w:val="0"/>
        <w:numId w:val="12"/>
      </w:numPr>
      <w:spacing w:line="240" w:lineRule="auto"/>
      <w:jc w:val="left"/>
    </w:pPr>
    <w:rPr>
      <w:rFonts w:ascii="宋体" w:hAnsi="宋体"/>
      <w:sz w:val="18"/>
    </w:rPr>
  </w:style>
  <w:style w:type="character" w:customStyle="1" w:styleId="106">
    <w:name w:val="标准文件_图表脚注内容"/>
    <w:qFormat/>
    <w:uiPriority w:val="0"/>
    <w:rPr>
      <w:rFonts w:ascii="宋体" w:hAnsi="宋体" w:eastAsia="宋体" w:cs="Times New Roman"/>
      <w:spacing w:val="0"/>
      <w:sz w:val="18"/>
      <w:vertAlign w:val="superscript"/>
    </w:rPr>
  </w:style>
  <w:style w:type="paragraph" w:customStyle="1" w:styleId="107">
    <w:name w:val="标准文件_五级条标题"/>
    <w:next w:val="60"/>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8">
    <w:name w:val="标准文件_章标题"/>
    <w:next w:val="60"/>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9">
    <w:name w:val="标准文件_一级条标题"/>
    <w:basedOn w:val="108"/>
    <w:next w:val="60"/>
    <w:qFormat/>
    <w:uiPriority w:val="0"/>
    <w:pPr>
      <w:numPr>
        <w:ilvl w:val="2"/>
      </w:numPr>
      <w:spacing w:before="50" w:beforeLines="50" w:after="50" w:afterLines="50"/>
      <w:outlineLvl w:val="1"/>
    </w:pPr>
  </w:style>
  <w:style w:type="paragraph" w:customStyle="1" w:styleId="110">
    <w:name w:val="标准文件_一致程度"/>
    <w:basedOn w:val="1"/>
    <w:qFormat/>
    <w:uiPriority w:val="0"/>
    <w:pPr>
      <w:spacing w:line="440" w:lineRule="exact"/>
      <w:jc w:val="center"/>
    </w:pPr>
    <w:rPr>
      <w:sz w:val="28"/>
    </w:rPr>
  </w:style>
  <w:style w:type="paragraph" w:customStyle="1" w:styleId="111">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12">
    <w:name w:val="标准文件_英文图表脚注"/>
    <w:basedOn w:val="59"/>
    <w:qFormat/>
    <w:uiPriority w:val="0"/>
    <w:pPr>
      <w:widowControl/>
      <w:adjustRightInd/>
      <w:snapToGrid/>
      <w:spacing w:line="240" w:lineRule="auto"/>
      <w:ind w:left="79" w:hanging="79" w:hangingChars="80"/>
    </w:pPr>
    <w:rPr>
      <w:rFonts w:ascii="宋体" w:hAnsi="宋体"/>
    </w:rPr>
  </w:style>
  <w:style w:type="paragraph" w:customStyle="1" w:styleId="113">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4">
    <w:name w:val="标准文件_英文注："/>
    <w:basedOn w:val="1"/>
    <w:next w:val="60"/>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5">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6">
    <w:name w:val="标准文件_正文表标题"/>
    <w:next w:val="60"/>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7">
    <w:name w:val="标准文件_正文公式"/>
    <w:basedOn w:val="1"/>
    <w:next w:val="59"/>
    <w:qFormat/>
    <w:uiPriority w:val="0"/>
    <w:pPr>
      <w:tabs>
        <w:tab w:val="center" w:pos="4678"/>
        <w:tab w:val="right" w:leader="middleDot" w:pos="9356"/>
      </w:tabs>
      <w:spacing w:line="240" w:lineRule="auto"/>
    </w:pPr>
    <w:rPr>
      <w:rFonts w:ascii="宋体" w:hAnsi="宋体"/>
    </w:rPr>
  </w:style>
  <w:style w:type="paragraph" w:customStyle="1" w:styleId="118">
    <w:name w:val="标准文件_正文图标题"/>
    <w:next w:val="60"/>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9">
    <w:name w:val="标准文件_正文英文表标题"/>
    <w:next w:val="60"/>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20">
    <w:name w:val="标准文件_正文英文图标题"/>
    <w:next w:val="60"/>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21">
    <w:name w:val="标准文件_编号列项（三级）"/>
    <w:qFormat/>
    <w:uiPriority w:val="0"/>
    <w:pPr>
      <w:numPr>
        <w:ilvl w:val="2"/>
        <w:numId w:val="13"/>
      </w:numPr>
    </w:pPr>
    <w:rPr>
      <w:rFonts w:ascii="宋体" w:hAnsi="Times New Roman" w:eastAsia="宋体" w:cs="Times New Roman"/>
      <w:sz w:val="21"/>
      <w:lang w:val="en-US" w:eastAsia="zh-CN" w:bidi="ar-SA"/>
    </w:rPr>
  </w:style>
  <w:style w:type="paragraph" w:customStyle="1" w:styleId="122">
    <w:name w:val="二级无标题条"/>
    <w:basedOn w:val="1"/>
    <w:qFormat/>
    <w:uiPriority w:val="0"/>
    <w:pPr>
      <w:numPr>
        <w:ilvl w:val="3"/>
        <w:numId w:val="20"/>
      </w:numPr>
      <w:adjustRightInd/>
      <w:spacing w:line="240" w:lineRule="auto"/>
    </w:pPr>
    <w:rPr>
      <w:rFonts w:ascii="宋体" w:hAnsi="宋体"/>
      <w:szCs w:val="24"/>
    </w:rPr>
  </w:style>
  <w:style w:type="paragraph" w:customStyle="1" w:styleId="123">
    <w:name w:val="发布部门"/>
    <w:next w:val="60"/>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4">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5">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6">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7">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8">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9">
    <w:name w:val="封面标准英文名称"/>
    <w:basedOn w:val="126"/>
    <w:qFormat/>
    <w:uiPriority w:val="0"/>
    <w:pPr>
      <w:framePr w:wrap="around"/>
      <w:spacing w:line="360" w:lineRule="exact"/>
    </w:pPr>
    <w:rPr>
      <w:rFonts w:ascii="Times New Roman" w:eastAsia="宋体"/>
      <w:sz w:val="28"/>
    </w:rPr>
  </w:style>
  <w:style w:type="paragraph" w:customStyle="1" w:styleId="130">
    <w:name w:val="封面一致性程度标识"/>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31">
    <w:name w:val="封面正文"/>
    <w:qFormat/>
    <w:uiPriority w:val="0"/>
    <w:pPr>
      <w:jc w:val="both"/>
    </w:pPr>
    <w:rPr>
      <w:rFonts w:ascii="Times New Roman" w:hAnsi="Times New Roman" w:eastAsia="宋体" w:cs="Times New Roman"/>
      <w:lang w:val="en-US" w:eastAsia="zh-CN" w:bidi="ar-SA"/>
    </w:rPr>
  </w:style>
  <w:style w:type="paragraph" w:customStyle="1" w:styleId="132">
    <w:name w:val="附录二级无标题条"/>
    <w:basedOn w:val="1"/>
    <w:next w:val="60"/>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33">
    <w:name w:val="附录三级无标题条"/>
    <w:basedOn w:val="132"/>
    <w:next w:val="60"/>
    <w:qFormat/>
    <w:uiPriority w:val="0"/>
    <w:pPr>
      <w:outlineLvl w:val="4"/>
    </w:pPr>
  </w:style>
  <w:style w:type="paragraph" w:customStyle="1" w:styleId="134">
    <w:name w:val="附录四级无标题条"/>
    <w:basedOn w:val="133"/>
    <w:next w:val="60"/>
    <w:qFormat/>
    <w:uiPriority w:val="0"/>
    <w:pPr>
      <w:outlineLvl w:val="5"/>
    </w:pPr>
  </w:style>
  <w:style w:type="paragraph" w:customStyle="1" w:styleId="135">
    <w:name w:val="附录图"/>
    <w:next w:val="60"/>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6">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7">
    <w:name w:val="附录五级无标题条"/>
    <w:basedOn w:val="134"/>
    <w:next w:val="60"/>
    <w:qFormat/>
    <w:uiPriority w:val="0"/>
    <w:pPr>
      <w:outlineLvl w:val="6"/>
    </w:pPr>
  </w:style>
  <w:style w:type="paragraph" w:customStyle="1" w:styleId="138">
    <w:name w:val="附录性质"/>
    <w:basedOn w:val="1"/>
    <w:qFormat/>
    <w:uiPriority w:val="0"/>
    <w:pPr>
      <w:widowControl/>
      <w:adjustRightInd/>
      <w:jc w:val="center"/>
    </w:pPr>
    <w:rPr>
      <w:rFonts w:ascii="黑体" w:eastAsia="黑体"/>
    </w:rPr>
  </w:style>
  <w:style w:type="paragraph" w:customStyle="1" w:styleId="139">
    <w:name w:val="附录一级无标题条"/>
    <w:basedOn w:val="91"/>
    <w:next w:val="60"/>
    <w:qFormat/>
    <w:uiPriority w:val="0"/>
    <w:pPr>
      <w:autoSpaceDN w:val="0"/>
      <w:outlineLvl w:val="2"/>
    </w:pPr>
    <w:rPr>
      <w:rFonts w:ascii="宋体" w:hAnsi="宋体" w:eastAsia="宋体"/>
    </w:rPr>
  </w:style>
  <w:style w:type="character" w:customStyle="1" w:styleId="140">
    <w:name w:val="个人答复风格"/>
    <w:qFormat/>
    <w:uiPriority w:val="0"/>
    <w:rPr>
      <w:rFonts w:ascii="Arial" w:hAnsi="Arial" w:eastAsia="宋体" w:cs="Arial"/>
      <w:color w:val="auto"/>
      <w:spacing w:val="0"/>
      <w:sz w:val="20"/>
    </w:rPr>
  </w:style>
  <w:style w:type="character" w:customStyle="1" w:styleId="141">
    <w:name w:val="个人撰写风格"/>
    <w:qFormat/>
    <w:uiPriority w:val="0"/>
    <w:rPr>
      <w:rFonts w:ascii="Arial" w:hAnsi="Arial" w:eastAsia="宋体" w:cs="Arial"/>
      <w:color w:val="auto"/>
      <w:spacing w:val="0"/>
      <w:sz w:val="20"/>
    </w:rPr>
  </w:style>
  <w:style w:type="paragraph" w:customStyle="1" w:styleId="142">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43">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4">
    <w:name w:val="列项·"/>
    <w:basedOn w:val="60"/>
    <w:qFormat/>
    <w:uiPriority w:val="0"/>
    <w:pPr>
      <w:tabs>
        <w:tab w:val="left" w:pos="840"/>
      </w:tabs>
    </w:pPr>
  </w:style>
  <w:style w:type="paragraph" w:customStyle="1" w:styleId="145">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6">
    <w:name w:val="目录 21"/>
    <w:basedOn w:val="1"/>
    <w:next w:val="1"/>
    <w:semiHidden/>
    <w:qFormat/>
    <w:uiPriority w:val="0"/>
    <w:pPr>
      <w:adjustRightInd/>
      <w:spacing w:line="240" w:lineRule="auto"/>
      <w:jc w:val="left"/>
    </w:pPr>
    <w:rPr>
      <w:bCs/>
      <w:iCs/>
    </w:rPr>
  </w:style>
  <w:style w:type="paragraph" w:customStyle="1" w:styleId="147">
    <w:name w:val="目录 31"/>
    <w:basedOn w:val="1"/>
    <w:next w:val="1"/>
    <w:semiHidden/>
    <w:qFormat/>
    <w:uiPriority w:val="0"/>
    <w:pPr>
      <w:spacing w:line="240" w:lineRule="auto"/>
    </w:pPr>
    <w:rPr>
      <w:rFonts w:ascii="宋体" w:hAnsi="宋体"/>
      <w:iCs/>
    </w:rPr>
  </w:style>
  <w:style w:type="paragraph" w:customStyle="1" w:styleId="148">
    <w:name w:val="目录 41"/>
    <w:basedOn w:val="1"/>
    <w:next w:val="1"/>
    <w:semiHidden/>
    <w:qFormat/>
    <w:uiPriority w:val="0"/>
    <w:pPr>
      <w:adjustRightInd/>
      <w:spacing w:line="240" w:lineRule="auto"/>
      <w:jc w:val="left"/>
    </w:pPr>
  </w:style>
  <w:style w:type="paragraph" w:customStyle="1" w:styleId="149">
    <w:name w:val="目录 51"/>
    <w:basedOn w:val="1"/>
    <w:next w:val="1"/>
    <w:semiHidden/>
    <w:qFormat/>
    <w:uiPriority w:val="0"/>
    <w:pPr>
      <w:spacing w:line="240" w:lineRule="auto"/>
    </w:pPr>
    <w:rPr>
      <w:rFonts w:ascii="宋体" w:hAnsi="宋体"/>
    </w:rPr>
  </w:style>
  <w:style w:type="paragraph" w:customStyle="1" w:styleId="150">
    <w:name w:val="目录 61"/>
    <w:basedOn w:val="1"/>
    <w:next w:val="1"/>
    <w:semiHidden/>
    <w:qFormat/>
    <w:uiPriority w:val="0"/>
    <w:pPr>
      <w:adjustRightInd/>
      <w:spacing w:line="240" w:lineRule="auto"/>
      <w:jc w:val="left"/>
    </w:pPr>
  </w:style>
  <w:style w:type="paragraph" w:customStyle="1" w:styleId="151">
    <w:name w:val="目录 71"/>
    <w:basedOn w:val="150"/>
    <w:semiHidden/>
    <w:qFormat/>
    <w:uiPriority w:val="0"/>
    <w:pPr>
      <w:ind w:left="1260"/>
    </w:pPr>
  </w:style>
  <w:style w:type="paragraph" w:customStyle="1" w:styleId="152">
    <w:name w:val="目录 81"/>
    <w:basedOn w:val="151"/>
    <w:semiHidden/>
    <w:qFormat/>
    <w:uiPriority w:val="0"/>
    <w:pPr>
      <w:ind w:left="1470"/>
    </w:pPr>
  </w:style>
  <w:style w:type="paragraph" w:customStyle="1" w:styleId="153">
    <w:name w:val="目录 91"/>
    <w:basedOn w:val="152"/>
    <w:semiHidden/>
    <w:qFormat/>
    <w:uiPriority w:val="0"/>
    <w:pPr>
      <w:ind w:left="1680"/>
    </w:pPr>
  </w:style>
  <w:style w:type="paragraph" w:customStyle="1" w:styleId="154">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5">
    <w:name w:val="其他发布部门"/>
    <w:basedOn w:val="123"/>
    <w:qFormat/>
    <w:uiPriority w:val="0"/>
    <w:pPr>
      <w:framePr w:wrap="around"/>
      <w:spacing w:line="0" w:lineRule="atLeast"/>
    </w:pPr>
    <w:rPr>
      <w:rFonts w:ascii="黑体" w:eastAsia="黑体"/>
      <w:b w:val="0"/>
    </w:rPr>
  </w:style>
  <w:style w:type="paragraph" w:customStyle="1" w:styleId="156">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7">
    <w:name w:val="三级无标题条"/>
    <w:basedOn w:val="1"/>
    <w:qFormat/>
    <w:uiPriority w:val="0"/>
    <w:pPr>
      <w:numPr>
        <w:ilvl w:val="4"/>
        <w:numId w:val="20"/>
      </w:numPr>
      <w:adjustRightInd/>
      <w:spacing w:line="240" w:lineRule="auto"/>
    </w:pPr>
    <w:rPr>
      <w:rFonts w:ascii="宋体" w:hAnsi="宋体"/>
      <w:szCs w:val="24"/>
    </w:rPr>
  </w:style>
  <w:style w:type="paragraph" w:customStyle="1" w:styleId="158">
    <w:name w:val="实施日期"/>
    <w:basedOn w:val="124"/>
    <w:qFormat/>
    <w:uiPriority w:val="0"/>
    <w:pPr>
      <w:framePr w:hSpace="0" w:wrap="around" w:xAlign="right"/>
      <w:jc w:val="right"/>
    </w:pPr>
  </w:style>
  <w:style w:type="paragraph" w:customStyle="1" w:styleId="159">
    <w:name w:val="四级无标题条"/>
    <w:basedOn w:val="1"/>
    <w:qFormat/>
    <w:uiPriority w:val="0"/>
    <w:pPr>
      <w:numPr>
        <w:ilvl w:val="5"/>
        <w:numId w:val="20"/>
      </w:numPr>
      <w:adjustRightInd/>
      <w:spacing w:line="240" w:lineRule="auto"/>
    </w:pPr>
    <w:rPr>
      <w:rFonts w:ascii="宋体" w:hAnsi="宋体"/>
      <w:szCs w:val="24"/>
    </w:rPr>
  </w:style>
  <w:style w:type="paragraph" w:customStyle="1" w:styleId="160">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61">
    <w:name w:val="无标题条"/>
    <w:next w:val="60"/>
    <w:qFormat/>
    <w:uiPriority w:val="0"/>
    <w:pPr>
      <w:jc w:val="both"/>
    </w:pPr>
    <w:rPr>
      <w:rFonts w:ascii="宋体" w:hAnsi="宋体" w:eastAsia="宋体" w:cs="Times New Roman"/>
      <w:sz w:val="21"/>
      <w:lang w:val="en-US" w:eastAsia="zh-CN" w:bidi="ar-SA"/>
    </w:rPr>
  </w:style>
  <w:style w:type="paragraph" w:customStyle="1" w:styleId="162">
    <w:name w:val="五级无标题条"/>
    <w:basedOn w:val="1"/>
    <w:qFormat/>
    <w:uiPriority w:val="0"/>
    <w:pPr>
      <w:numPr>
        <w:ilvl w:val="6"/>
        <w:numId w:val="20"/>
      </w:numPr>
      <w:adjustRightInd/>
    </w:pPr>
    <w:rPr>
      <w:szCs w:val="24"/>
    </w:rPr>
  </w:style>
  <w:style w:type="paragraph" w:customStyle="1" w:styleId="163">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4">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5">
    <w:name w:val="注×:后续"/>
    <w:basedOn w:val="164"/>
    <w:qFormat/>
    <w:uiPriority w:val="0"/>
    <w:pPr>
      <w:ind w:left="1406" w:leftChars="0" w:hanging="499" w:firstLineChars="0"/>
    </w:pPr>
  </w:style>
  <w:style w:type="paragraph" w:customStyle="1" w:styleId="166">
    <w:name w:val="标准文件_一级无标题"/>
    <w:basedOn w:val="109"/>
    <w:qFormat/>
    <w:uiPriority w:val="0"/>
    <w:pPr>
      <w:spacing w:before="0" w:beforeLines="0" w:after="0" w:afterLines="0"/>
      <w:outlineLvl w:val="9"/>
    </w:pPr>
    <w:rPr>
      <w:rFonts w:ascii="宋体" w:eastAsia="宋体"/>
    </w:rPr>
  </w:style>
  <w:style w:type="paragraph" w:customStyle="1" w:styleId="167">
    <w:name w:val="标准文件_五级无标题"/>
    <w:basedOn w:val="107"/>
    <w:qFormat/>
    <w:uiPriority w:val="0"/>
    <w:pPr>
      <w:spacing w:before="0" w:beforeLines="0" w:after="0" w:afterLines="0"/>
      <w:outlineLvl w:val="9"/>
    </w:pPr>
    <w:rPr>
      <w:rFonts w:ascii="宋体" w:eastAsia="宋体"/>
    </w:rPr>
  </w:style>
  <w:style w:type="paragraph" w:customStyle="1" w:styleId="168">
    <w:name w:val="标准文件_三级无标题"/>
    <w:basedOn w:val="98"/>
    <w:qFormat/>
    <w:uiPriority w:val="0"/>
    <w:pPr>
      <w:spacing w:before="0" w:beforeLines="0" w:after="0" w:afterLines="0"/>
      <w:outlineLvl w:val="9"/>
    </w:pPr>
    <w:rPr>
      <w:rFonts w:ascii="宋体" w:eastAsia="宋体"/>
    </w:rPr>
  </w:style>
  <w:style w:type="paragraph" w:customStyle="1" w:styleId="169">
    <w:name w:val="标准文件_二级无标题"/>
    <w:basedOn w:val="69"/>
    <w:qFormat/>
    <w:uiPriority w:val="0"/>
    <w:pPr>
      <w:spacing w:before="0" w:beforeLines="0" w:after="0" w:afterLines="0"/>
      <w:outlineLvl w:val="9"/>
    </w:pPr>
    <w:rPr>
      <w:rFonts w:ascii="宋体" w:eastAsia="宋体"/>
    </w:rPr>
  </w:style>
  <w:style w:type="paragraph" w:customStyle="1" w:styleId="170">
    <w:name w:val="标准_四级无标题"/>
    <w:basedOn w:val="102"/>
    <w:next w:val="60"/>
    <w:qFormat/>
    <w:uiPriority w:val="0"/>
    <w:rPr>
      <w:rFonts w:eastAsia="宋体"/>
    </w:rPr>
  </w:style>
  <w:style w:type="paragraph" w:customStyle="1" w:styleId="171">
    <w:name w:val="标准文件_四级无标题"/>
    <w:basedOn w:val="102"/>
    <w:qFormat/>
    <w:uiPriority w:val="0"/>
    <w:pPr>
      <w:spacing w:before="0" w:beforeLines="0" w:after="0" w:afterLines="0"/>
      <w:outlineLvl w:val="9"/>
    </w:pPr>
    <w:rPr>
      <w:rFonts w:ascii="宋体" w:hAnsi="黑体" w:eastAsia="宋体"/>
      <w:szCs w:val="52"/>
    </w:rPr>
  </w:style>
  <w:style w:type="paragraph" w:customStyle="1" w:styleId="172">
    <w:name w:val="标准文件_大写罗马数字编号列项"/>
    <w:basedOn w:val="60"/>
    <w:qFormat/>
    <w:uiPriority w:val="0"/>
    <w:pPr>
      <w:numPr>
        <w:ilvl w:val="0"/>
        <w:numId w:val="23"/>
      </w:numPr>
      <w:ind w:firstLine="0" w:firstLineChars="0"/>
    </w:pPr>
    <w:rPr>
      <w:rFonts w:ascii="Times New Roman" w:cs="Arial"/>
      <w:szCs w:val="28"/>
    </w:rPr>
  </w:style>
  <w:style w:type="paragraph" w:customStyle="1" w:styleId="173">
    <w:name w:val="标准文件_小写罗马数字编号列项"/>
    <w:basedOn w:val="60"/>
    <w:qFormat/>
    <w:uiPriority w:val="0"/>
    <w:pPr>
      <w:numPr>
        <w:ilvl w:val="0"/>
        <w:numId w:val="24"/>
      </w:numPr>
      <w:ind w:firstLine="0" w:firstLineChars="0"/>
    </w:pPr>
    <w:rPr>
      <w:rFonts w:cs="Arial"/>
      <w:szCs w:val="28"/>
    </w:rPr>
  </w:style>
  <w:style w:type="paragraph" w:customStyle="1" w:styleId="174">
    <w:name w:val="标准文件_附录标题"/>
    <w:basedOn w:val="80"/>
    <w:qFormat/>
    <w:uiPriority w:val="0"/>
    <w:pPr>
      <w:numPr>
        <w:numId w:val="0"/>
      </w:numPr>
      <w:spacing w:after="280"/>
      <w:outlineLvl w:val="9"/>
    </w:pPr>
  </w:style>
  <w:style w:type="paragraph" w:customStyle="1" w:styleId="175">
    <w:name w:val="标准文件_二级项"/>
    <w:qFormat/>
    <w:uiPriority w:val="0"/>
    <w:rPr>
      <w:rFonts w:ascii="宋体" w:hAnsi="Times New Roman" w:eastAsia="宋体" w:cs="Times New Roman"/>
      <w:sz w:val="21"/>
      <w:lang w:val="en-US" w:eastAsia="zh-CN" w:bidi="ar-SA"/>
    </w:rPr>
  </w:style>
  <w:style w:type="paragraph" w:customStyle="1" w:styleId="176">
    <w:name w:val="标准文件_三级项"/>
    <w:basedOn w:val="1"/>
    <w:qFormat/>
    <w:uiPriority w:val="0"/>
    <w:pPr>
      <w:numPr>
        <w:ilvl w:val="2"/>
        <w:numId w:val="21"/>
      </w:numPr>
      <w:spacing w:line="536870612" w:lineRule="auto"/>
    </w:pPr>
    <w:rPr>
      <w:rFonts w:ascii="Times New Roman" w:hAnsi="Times New Roman"/>
    </w:rPr>
  </w:style>
  <w:style w:type="paragraph" w:customStyle="1" w:styleId="177">
    <w:name w:val="图表脚注说明"/>
    <w:basedOn w:val="1"/>
    <w:next w:val="60"/>
    <w:qFormat/>
    <w:uiPriority w:val="0"/>
    <w:pPr>
      <w:numPr>
        <w:ilvl w:val="0"/>
        <w:numId w:val="25"/>
      </w:numPr>
      <w:adjustRightInd/>
      <w:spacing w:line="240" w:lineRule="auto"/>
    </w:pPr>
    <w:rPr>
      <w:rFonts w:ascii="宋体" w:hAnsi="Times New Roman"/>
      <w:sz w:val="18"/>
      <w:szCs w:val="18"/>
    </w:rPr>
  </w:style>
  <w:style w:type="paragraph" w:customStyle="1" w:styleId="178">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9">
    <w:name w:val="标准文件_索引字母"/>
    <w:next w:val="60"/>
    <w:qFormat/>
    <w:uiPriority w:val="0"/>
    <w:pPr>
      <w:jc w:val="center"/>
    </w:pPr>
    <w:rPr>
      <w:rFonts w:ascii="宋体" w:hAnsi="宋体" w:eastAsia="Times New Roman" w:cs="Times New Roman"/>
      <w:b/>
      <w:kern w:val="2"/>
      <w:sz w:val="21"/>
      <w:lang w:val="en-US" w:eastAsia="zh-CN" w:bidi="ar-SA"/>
    </w:rPr>
  </w:style>
  <w:style w:type="paragraph" w:customStyle="1" w:styleId="180">
    <w:name w:val="标准文件_附录前"/>
    <w:next w:val="60"/>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81">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82">
    <w:name w:val="标准文件_表格"/>
    <w:basedOn w:val="60"/>
    <w:qFormat/>
    <w:uiPriority w:val="0"/>
    <w:pPr>
      <w:ind w:firstLine="0" w:firstLineChars="0"/>
      <w:jc w:val="center"/>
    </w:pPr>
    <w:rPr>
      <w:sz w:val="18"/>
    </w:rPr>
  </w:style>
  <w:style w:type="paragraph" w:customStyle="1" w:styleId="183">
    <w:name w:val="标准文件_注："/>
    <w:next w:val="60"/>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4">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5">
    <w:name w:val="标准文件_示例："/>
    <w:next w:val="186"/>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6">
    <w:name w:val="标准文件_示例内容"/>
    <w:basedOn w:val="60"/>
    <w:qFormat/>
    <w:uiPriority w:val="0"/>
    <w:pPr>
      <w:ind w:firstLine="420"/>
    </w:pPr>
    <w:rPr>
      <w:sz w:val="18"/>
    </w:rPr>
  </w:style>
  <w:style w:type="paragraph" w:customStyle="1" w:styleId="187">
    <w:name w:val="标准文件_示例×："/>
    <w:basedOn w:val="1"/>
    <w:next w:val="186"/>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8">
    <w:name w:val="标准文件_段 Char"/>
    <w:link w:val="60"/>
    <w:qFormat/>
    <w:uiPriority w:val="0"/>
    <w:rPr>
      <w:rFonts w:ascii="宋体" w:hAnsi="Times New Roman"/>
      <w:sz w:val="21"/>
    </w:rPr>
  </w:style>
  <w:style w:type="paragraph" w:customStyle="1" w:styleId="189">
    <w:name w:val="标准文件_表格续"/>
    <w:basedOn w:val="60"/>
    <w:next w:val="60"/>
    <w:qFormat/>
    <w:uiPriority w:val="0"/>
    <w:pPr>
      <w:jc w:val="center"/>
    </w:pPr>
    <w:rPr>
      <w:rFonts w:ascii="黑体" w:hAnsi="黑体" w:eastAsia="黑体"/>
    </w:rPr>
  </w:style>
  <w:style w:type="character" w:styleId="190">
    <w:name w:val="Placeholder Text"/>
    <w:basedOn w:val="31"/>
    <w:semiHidden/>
    <w:qFormat/>
    <w:uiPriority w:val="99"/>
    <w:rPr>
      <w:color w:val="808080"/>
    </w:rPr>
  </w:style>
  <w:style w:type="paragraph" w:customStyle="1" w:styleId="191">
    <w:name w:val="标准文件_二级项2"/>
    <w:basedOn w:val="60"/>
    <w:qFormat/>
    <w:uiPriority w:val="0"/>
    <w:pPr>
      <w:numPr>
        <w:ilvl w:val="1"/>
        <w:numId w:val="21"/>
      </w:numPr>
      <w:ind w:firstLine="0" w:firstLineChars="0"/>
    </w:pPr>
  </w:style>
  <w:style w:type="paragraph" w:customStyle="1" w:styleId="192">
    <w:name w:val="标准文件_三级项2"/>
    <w:basedOn w:val="60"/>
    <w:qFormat/>
    <w:uiPriority w:val="0"/>
    <w:pPr>
      <w:numPr>
        <w:ilvl w:val="0"/>
        <w:numId w:val="30"/>
      </w:numPr>
      <w:spacing w:line="300" w:lineRule="exact"/>
      <w:ind w:firstLineChars="0"/>
    </w:pPr>
    <w:rPr>
      <w:rFonts w:ascii="Times New Roman"/>
    </w:rPr>
  </w:style>
  <w:style w:type="paragraph" w:customStyle="1" w:styleId="193">
    <w:name w:val="标准文件_一级项2"/>
    <w:basedOn w:val="60"/>
    <w:qFormat/>
    <w:uiPriority w:val="0"/>
    <w:pPr>
      <w:numPr>
        <w:ilvl w:val="0"/>
        <w:numId w:val="31"/>
      </w:numPr>
      <w:spacing w:line="300" w:lineRule="exact"/>
      <w:ind w:firstLineChars="0"/>
    </w:pPr>
    <w:rPr>
      <w:rFonts w:ascii="Times New Roman"/>
    </w:rPr>
  </w:style>
  <w:style w:type="paragraph" w:customStyle="1" w:styleId="194">
    <w:name w:val="标准文件_提示"/>
    <w:basedOn w:val="60"/>
    <w:next w:val="60"/>
    <w:qFormat/>
    <w:uiPriority w:val="0"/>
    <w:pPr>
      <w:ind w:firstLine="420"/>
    </w:pPr>
    <w:rPr>
      <w:rFonts w:ascii="黑体" w:eastAsia="黑体"/>
    </w:rPr>
  </w:style>
  <w:style w:type="character" w:customStyle="1" w:styleId="195">
    <w:name w:val="标准文件_来源"/>
    <w:basedOn w:val="31"/>
    <w:qFormat/>
    <w:uiPriority w:val="1"/>
    <w:rPr>
      <w:rFonts w:eastAsia="宋体"/>
      <w:sz w:val="21"/>
    </w:rPr>
  </w:style>
  <w:style w:type="paragraph" w:customStyle="1" w:styleId="196">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7">
    <w:name w:val="其他发布日期"/>
    <w:basedOn w:val="124"/>
    <w:qFormat/>
    <w:uiPriority w:val="0"/>
    <w:pPr>
      <w:framePr w:w="3997" w:h="471" w:hRule="exact" w:hSpace="0" w:vSpace="181" w:wrap="around" w:vAnchor="page" w:hAnchor="page" w:x="1419" w:y="14097"/>
    </w:pPr>
  </w:style>
  <w:style w:type="paragraph" w:customStyle="1" w:styleId="198">
    <w:name w:val="其他实施日期"/>
    <w:basedOn w:val="158"/>
    <w:qFormat/>
    <w:uiPriority w:val="0"/>
    <w:pPr>
      <w:framePr w:w="3997" w:h="471" w:hRule="exact" w:vSpace="181" w:wrap="around" w:vAnchor="page" w:hAnchor="page" w:x="7089" w:y="14097"/>
    </w:pPr>
  </w:style>
  <w:style w:type="paragraph" w:customStyle="1" w:styleId="199">
    <w:name w:val="标准文件_文件编号"/>
    <w:basedOn w:val="60"/>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200">
    <w:name w:val="标准文件_替换文件编号"/>
    <w:basedOn w:val="199"/>
    <w:qFormat/>
    <w:uiPriority w:val="0"/>
    <w:pPr>
      <w:framePr/>
      <w:spacing w:before="57"/>
    </w:pPr>
    <w:rPr>
      <w:sz w:val="21"/>
    </w:rPr>
  </w:style>
  <w:style w:type="paragraph" w:customStyle="1" w:styleId="201">
    <w:name w:val="标准文件_文件名称"/>
    <w:basedOn w:val="60"/>
    <w:next w:val="60"/>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202">
    <w:name w:val="标准文件_附录图标号"/>
    <w:basedOn w:val="60"/>
    <w:next w:val="60"/>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203">
    <w:name w:val="标准文件_附录表标号"/>
    <w:basedOn w:val="60"/>
    <w:next w:val="60"/>
    <w:qFormat/>
    <w:uiPriority w:val="0"/>
    <w:pPr>
      <w:numPr>
        <w:ilvl w:val="0"/>
        <w:numId w:val="5"/>
      </w:numPr>
      <w:spacing w:line="14" w:lineRule="exact"/>
      <w:ind w:firstLine="0" w:firstLineChars="0"/>
      <w:jc w:val="center"/>
    </w:pPr>
    <w:rPr>
      <w:rFonts w:eastAsia="黑体"/>
      <w:vanish/>
      <w:sz w:val="2"/>
    </w:rPr>
  </w:style>
  <w:style w:type="paragraph" w:customStyle="1" w:styleId="204">
    <w:name w:val="标准文件_引言一级条标题"/>
    <w:basedOn w:val="60"/>
    <w:next w:val="60"/>
    <w:qFormat/>
    <w:uiPriority w:val="0"/>
    <w:pPr>
      <w:numPr>
        <w:ilvl w:val="1"/>
        <w:numId w:val="8"/>
      </w:numPr>
      <w:spacing w:before="50" w:beforeLines="50" w:after="50" w:afterLines="50"/>
      <w:ind w:firstLineChars="0"/>
    </w:pPr>
    <w:rPr>
      <w:rFonts w:ascii="黑体" w:eastAsia="黑体"/>
    </w:rPr>
  </w:style>
  <w:style w:type="paragraph" w:customStyle="1" w:styleId="205">
    <w:name w:val="标准文件_引言二级条标题"/>
    <w:basedOn w:val="60"/>
    <w:next w:val="60"/>
    <w:qFormat/>
    <w:uiPriority w:val="0"/>
    <w:pPr>
      <w:numPr>
        <w:ilvl w:val="2"/>
        <w:numId w:val="8"/>
      </w:numPr>
      <w:spacing w:before="50" w:beforeLines="50" w:after="50" w:afterLines="50"/>
      <w:ind w:firstLineChars="0"/>
    </w:pPr>
    <w:rPr>
      <w:rFonts w:ascii="黑体" w:eastAsia="黑体"/>
    </w:rPr>
  </w:style>
  <w:style w:type="paragraph" w:customStyle="1" w:styleId="206">
    <w:name w:val="标准文件_引言三级条标题"/>
    <w:basedOn w:val="60"/>
    <w:next w:val="60"/>
    <w:qFormat/>
    <w:uiPriority w:val="0"/>
    <w:pPr>
      <w:numPr>
        <w:ilvl w:val="3"/>
        <w:numId w:val="8"/>
      </w:numPr>
      <w:spacing w:before="50" w:beforeLines="50" w:after="50" w:afterLines="50"/>
      <w:ind w:firstLineChars="0"/>
    </w:pPr>
    <w:rPr>
      <w:rFonts w:ascii="黑体" w:eastAsia="黑体"/>
    </w:rPr>
  </w:style>
  <w:style w:type="paragraph" w:customStyle="1" w:styleId="207">
    <w:name w:val="标准文件_引言四级条标题"/>
    <w:basedOn w:val="60"/>
    <w:next w:val="60"/>
    <w:qFormat/>
    <w:uiPriority w:val="0"/>
    <w:pPr>
      <w:numPr>
        <w:ilvl w:val="4"/>
        <w:numId w:val="8"/>
      </w:numPr>
      <w:spacing w:before="50" w:beforeLines="50" w:after="50" w:afterLines="50"/>
      <w:ind w:firstLineChars="0"/>
    </w:pPr>
    <w:rPr>
      <w:rFonts w:ascii="黑体" w:eastAsia="黑体"/>
    </w:rPr>
  </w:style>
  <w:style w:type="paragraph" w:customStyle="1" w:styleId="208">
    <w:name w:val="标准文件_引言五级条标题"/>
    <w:basedOn w:val="60"/>
    <w:next w:val="60"/>
    <w:qFormat/>
    <w:uiPriority w:val="0"/>
    <w:pPr>
      <w:numPr>
        <w:ilvl w:val="5"/>
        <w:numId w:val="8"/>
      </w:numPr>
      <w:spacing w:before="50" w:beforeLines="50" w:after="50" w:afterLines="50"/>
      <w:ind w:firstLineChars="0"/>
    </w:pPr>
    <w:rPr>
      <w:rFonts w:ascii="黑体" w:eastAsia="黑体"/>
    </w:rPr>
  </w:style>
  <w:style w:type="paragraph" w:customStyle="1" w:styleId="209">
    <w:name w:val="标准文件_注后"/>
    <w:basedOn w:val="60"/>
    <w:qFormat/>
    <w:uiPriority w:val="0"/>
    <w:pPr>
      <w:ind w:left="811" w:firstLine="0" w:firstLineChars="0"/>
    </w:pPr>
    <w:rPr>
      <w:sz w:val="18"/>
    </w:rPr>
  </w:style>
  <w:style w:type="paragraph" w:customStyle="1" w:styleId="210">
    <w:name w:val="标准文件_注X后"/>
    <w:basedOn w:val="60"/>
    <w:qFormat/>
    <w:uiPriority w:val="0"/>
    <w:pPr>
      <w:ind w:left="811" w:firstLine="0" w:firstLineChars="0"/>
    </w:pPr>
    <w:rPr>
      <w:sz w:val="18"/>
    </w:rPr>
  </w:style>
  <w:style w:type="paragraph" w:customStyle="1" w:styleId="211">
    <w:name w:val="标准文件_示例后"/>
    <w:basedOn w:val="60"/>
    <w:qFormat/>
    <w:uiPriority w:val="0"/>
    <w:pPr>
      <w:ind w:left="964" w:firstLine="0" w:firstLineChars="0"/>
    </w:pPr>
    <w:rPr>
      <w:sz w:val="18"/>
    </w:rPr>
  </w:style>
  <w:style w:type="paragraph" w:customStyle="1" w:styleId="212">
    <w:name w:val="标准文件_示例X后"/>
    <w:basedOn w:val="60"/>
    <w:link w:val="213"/>
    <w:qFormat/>
    <w:uiPriority w:val="0"/>
    <w:pPr>
      <w:ind w:left="1049" w:firstLine="0" w:firstLineChars="0"/>
    </w:pPr>
    <w:rPr>
      <w:sz w:val="18"/>
    </w:rPr>
  </w:style>
  <w:style w:type="character" w:customStyle="1" w:styleId="213">
    <w:name w:val="标准文件_示例X后 字符"/>
    <w:basedOn w:val="188"/>
    <w:link w:val="212"/>
    <w:qFormat/>
    <w:uiPriority w:val="0"/>
    <w:rPr>
      <w:rFonts w:ascii="宋体" w:hAnsi="Times New Roman"/>
      <w:sz w:val="18"/>
    </w:rPr>
  </w:style>
  <w:style w:type="paragraph" w:customStyle="1" w:styleId="214">
    <w:name w:val="标准文件_索引项"/>
    <w:basedOn w:val="60"/>
    <w:next w:val="60"/>
    <w:qFormat/>
    <w:uiPriority w:val="0"/>
    <w:pPr>
      <w:tabs>
        <w:tab w:val="right" w:leader="dot" w:pos="9356"/>
      </w:tabs>
      <w:ind w:left="210" w:hanging="210" w:firstLineChars="0"/>
      <w:jc w:val="left"/>
    </w:pPr>
  </w:style>
  <w:style w:type="paragraph" w:customStyle="1" w:styleId="215">
    <w:name w:val="标准文件_附录一级无标题"/>
    <w:basedOn w:val="82"/>
    <w:qFormat/>
    <w:uiPriority w:val="0"/>
    <w:pPr>
      <w:spacing w:before="0" w:beforeLines="0" w:after="0" w:afterLines="0" w:line="276" w:lineRule="auto"/>
      <w:outlineLvl w:val="9"/>
    </w:pPr>
    <w:rPr>
      <w:rFonts w:ascii="宋体" w:eastAsia="宋体"/>
    </w:rPr>
  </w:style>
  <w:style w:type="paragraph" w:customStyle="1" w:styleId="216">
    <w:name w:val="标准文件_附录二级无标题"/>
    <w:basedOn w:val="83"/>
    <w:qFormat/>
    <w:uiPriority w:val="0"/>
    <w:pPr>
      <w:spacing w:before="0" w:beforeLines="0" w:after="0" w:afterLines="0" w:line="276" w:lineRule="auto"/>
      <w:outlineLvl w:val="9"/>
    </w:pPr>
    <w:rPr>
      <w:rFonts w:ascii="宋体" w:eastAsia="宋体"/>
    </w:rPr>
  </w:style>
  <w:style w:type="paragraph" w:customStyle="1" w:styleId="217">
    <w:name w:val="标准文件_附录三级无标题"/>
    <w:basedOn w:val="85"/>
    <w:qFormat/>
    <w:uiPriority w:val="0"/>
    <w:pPr>
      <w:spacing w:before="0" w:beforeLines="0" w:after="0" w:afterLines="0" w:line="276" w:lineRule="auto"/>
      <w:outlineLvl w:val="9"/>
    </w:pPr>
    <w:rPr>
      <w:rFonts w:ascii="宋体" w:eastAsia="宋体"/>
    </w:rPr>
  </w:style>
  <w:style w:type="paragraph" w:customStyle="1" w:styleId="218">
    <w:name w:val="标准文件_附录四级无标题"/>
    <w:basedOn w:val="86"/>
    <w:qFormat/>
    <w:uiPriority w:val="0"/>
    <w:pPr>
      <w:spacing w:before="0" w:beforeLines="0" w:after="0" w:afterLines="0" w:line="276" w:lineRule="auto"/>
      <w:outlineLvl w:val="9"/>
    </w:pPr>
    <w:rPr>
      <w:rFonts w:ascii="宋体" w:eastAsia="宋体"/>
    </w:rPr>
  </w:style>
  <w:style w:type="paragraph" w:customStyle="1" w:styleId="219">
    <w:name w:val="标准文件_附录五级无标题"/>
    <w:basedOn w:val="88"/>
    <w:qFormat/>
    <w:uiPriority w:val="0"/>
    <w:pPr>
      <w:spacing w:before="0" w:beforeLines="0" w:after="0" w:afterLines="0" w:line="276" w:lineRule="auto"/>
      <w:outlineLvl w:val="9"/>
    </w:pPr>
    <w:rPr>
      <w:rFonts w:ascii="宋体" w:eastAsia="宋体"/>
    </w:rPr>
  </w:style>
  <w:style w:type="paragraph" w:customStyle="1" w:styleId="220">
    <w:name w:val="标准文件_引言一级无标题"/>
    <w:basedOn w:val="204"/>
    <w:next w:val="60"/>
    <w:qFormat/>
    <w:uiPriority w:val="0"/>
    <w:pPr>
      <w:spacing w:before="0" w:beforeLines="0" w:after="0" w:afterLines="0" w:line="276" w:lineRule="auto"/>
    </w:pPr>
    <w:rPr>
      <w:rFonts w:ascii="宋体" w:eastAsia="宋体"/>
    </w:rPr>
  </w:style>
  <w:style w:type="paragraph" w:customStyle="1" w:styleId="221">
    <w:name w:val="标准文件_引言二级无标题"/>
    <w:basedOn w:val="205"/>
    <w:next w:val="60"/>
    <w:qFormat/>
    <w:uiPriority w:val="0"/>
    <w:pPr>
      <w:spacing w:before="0" w:beforeLines="0" w:after="0" w:afterLines="0" w:line="276" w:lineRule="auto"/>
    </w:pPr>
    <w:rPr>
      <w:rFonts w:ascii="宋体" w:eastAsia="宋体"/>
    </w:rPr>
  </w:style>
  <w:style w:type="paragraph" w:customStyle="1" w:styleId="222">
    <w:name w:val="标准文件_引言三级无标题"/>
    <w:basedOn w:val="206"/>
    <w:qFormat/>
    <w:uiPriority w:val="0"/>
    <w:pPr>
      <w:spacing w:before="0" w:beforeLines="0" w:after="0" w:afterLines="0" w:line="276" w:lineRule="auto"/>
    </w:pPr>
    <w:rPr>
      <w:rFonts w:ascii="宋体" w:eastAsia="宋体"/>
    </w:rPr>
  </w:style>
  <w:style w:type="paragraph" w:customStyle="1" w:styleId="223">
    <w:name w:val="标准文件_引言四级无标题"/>
    <w:basedOn w:val="207"/>
    <w:next w:val="60"/>
    <w:qFormat/>
    <w:uiPriority w:val="0"/>
    <w:pPr>
      <w:spacing w:before="0" w:beforeLines="0" w:after="0" w:afterLines="0" w:line="276" w:lineRule="auto"/>
    </w:pPr>
    <w:rPr>
      <w:rFonts w:ascii="宋体" w:eastAsia="宋体"/>
    </w:rPr>
  </w:style>
  <w:style w:type="paragraph" w:customStyle="1" w:styleId="224">
    <w:name w:val="标准文件_引言五级无标题"/>
    <w:basedOn w:val="208"/>
    <w:next w:val="60"/>
    <w:qFormat/>
    <w:uiPriority w:val="0"/>
    <w:pPr>
      <w:spacing w:before="0" w:beforeLines="0" w:after="0" w:afterLines="0" w:line="276" w:lineRule="auto"/>
    </w:pPr>
    <w:rPr>
      <w:rFonts w:ascii="宋体" w:eastAsia="宋体"/>
    </w:rPr>
  </w:style>
  <w:style w:type="paragraph" w:customStyle="1" w:styleId="225">
    <w:name w:val="标准文件_索引标题"/>
    <w:basedOn w:val="67"/>
    <w:next w:val="60"/>
    <w:qFormat/>
    <w:uiPriority w:val="0"/>
    <w:rPr>
      <w:rFonts w:hAnsi="黑体"/>
    </w:rPr>
  </w:style>
  <w:style w:type="paragraph" w:customStyle="1" w:styleId="226">
    <w:name w:val="标准文件_脚注内容"/>
    <w:basedOn w:val="60"/>
    <w:qFormat/>
    <w:uiPriority w:val="0"/>
    <w:pPr>
      <w:ind w:left="400" w:leftChars="200" w:hanging="200" w:hangingChars="200"/>
    </w:pPr>
    <w:rPr>
      <w:sz w:val="15"/>
    </w:rPr>
  </w:style>
  <w:style w:type="paragraph" w:customStyle="1" w:styleId="227">
    <w:name w:val="标准文件_术语条一"/>
    <w:basedOn w:val="166"/>
    <w:next w:val="60"/>
    <w:qFormat/>
    <w:uiPriority w:val="0"/>
  </w:style>
  <w:style w:type="paragraph" w:customStyle="1" w:styleId="228">
    <w:name w:val="标准文件_术语条二"/>
    <w:basedOn w:val="169"/>
    <w:next w:val="60"/>
    <w:qFormat/>
    <w:uiPriority w:val="0"/>
  </w:style>
  <w:style w:type="paragraph" w:customStyle="1" w:styleId="229">
    <w:name w:val="标准文件_术语条三"/>
    <w:basedOn w:val="168"/>
    <w:next w:val="60"/>
    <w:qFormat/>
    <w:uiPriority w:val="0"/>
  </w:style>
  <w:style w:type="paragraph" w:customStyle="1" w:styleId="230">
    <w:name w:val="标准文件_术语条四"/>
    <w:basedOn w:val="171"/>
    <w:next w:val="60"/>
    <w:qFormat/>
    <w:uiPriority w:val="0"/>
  </w:style>
  <w:style w:type="paragraph" w:customStyle="1" w:styleId="231">
    <w:name w:val="标准文件_术语条五"/>
    <w:basedOn w:val="167"/>
    <w:next w:val="60"/>
    <w:qFormat/>
    <w:uiPriority w:val="0"/>
  </w:style>
  <w:style w:type="paragraph" w:customStyle="1" w:styleId="232">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33">
    <w:name w:val="发布"/>
    <w:basedOn w:val="31"/>
    <w:qFormat/>
    <w:uiPriority w:val="0"/>
    <w:rPr>
      <w:rFonts w:ascii="黑体" w:eastAsia="黑体"/>
      <w:spacing w:val="85"/>
      <w:w w:val="100"/>
      <w:position w:val="3"/>
      <w:sz w:val="28"/>
      <w:szCs w:val="28"/>
    </w:rPr>
  </w:style>
  <w:style w:type="character" w:customStyle="1" w:styleId="234">
    <w:name w:val="批注文字 字符"/>
    <w:basedOn w:val="31"/>
    <w:link w:val="13"/>
    <w:semiHidden/>
    <w:qFormat/>
    <w:uiPriority w:val="99"/>
    <w:rPr>
      <w:kern w:val="2"/>
      <w:sz w:val="21"/>
      <w:szCs w:val="21"/>
    </w:rPr>
  </w:style>
  <w:style w:type="character" w:customStyle="1" w:styleId="235">
    <w:name w:val="批注主题 字符"/>
    <w:basedOn w:val="234"/>
    <w:link w:val="28"/>
    <w:semiHidden/>
    <w:qFormat/>
    <w:uiPriority w:val="99"/>
    <w:rPr>
      <w:b/>
      <w:bCs/>
      <w:kern w:val="2"/>
      <w:sz w:val="21"/>
      <w:szCs w:val="21"/>
    </w:rPr>
  </w:style>
  <w:style w:type="character" w:customStyle="1" w:styleId="236">
    <w:name w:val="sh14"/>
    <w:basedOn w:val="31"/>
    <w:qFormat/>
    <w:uiPriority w:val="0"/>
  </w:style>
  <w:style w:type="paragraph" w:customStyle="1" w:styleId="237">
    <w:name w:val="段"/>
    <w:qFormat/>
    <w:uiPriority w:val="0"/>
    <w:pPr>
      <w:tabs>
        <w:tab w:val="center" w:pos="4201"/>
        <w:tab w:val="right" w:leader="dot" w:pos="9298"/>
      </w:tabs>
      <w:autoSpaceDE w:val="0"/>
      <w:autoSpaceDN w:val="0"/>
      <w:ind w:firstLine="420" w:firstLineChars="200"/>
      <w:jc w:val="both"/>
    </w:pPr>
    <w:rPr>
      <w:rFonts w:ascii="宋体" w:hAnsi="Times New Roman" w:eastAsia="宋体" w:cs="Times New Roman"/>
      <w:sz w:val="21"/>
      <w:lang w:val="en-US" w:eastAsia="zh-CN" w:bidi="ar-SA"/>
    </w:rPr>
  </w:style>
  <w:style w:type="paragraph" w:customStyle="1" w:styleId="238">
    <w:name w:val="修订1"/>
    <w:hidden/>
    <w:unhideWhenUsed/>
    <w:qFormat/>
    <w:uiPriority w:val="99"/>
    <w:rPr>
      <w:rFonts w:ascii="Calibri" w:hAnsi="Calibri" w:eastAsia="宋体" w:cs="Times New Roman"/>
      <w:kern w:val="2"/>
      <w:sz w:val="21"/>
      <w:szCs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4" Type="http://schemas.openxmlformats.org/officeDocument/2006/relationships/glossaryDocument" Target="glossary/document.xml"/><Relationship Id="rId23" Type="http://schemas.openxmlformats.org/officeDocument/2006/relationships/fontTable" Target="fontTable.xml"/><Relationship Id="rId22" Type="http://schemas.openxmlformats.org/officeDocument/2006/relationships/customXml" Target="../customXml/item2.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image" Target="media/image2.jpeg"/><Relationship Id="rId18" Type="http://schemas.openxmlformats.org/officeDocument/2006/relationships/image" Target="media/image1.png"/><Relationship Id="rId17" Type="http://schemas.openxmlformats.org/officeDocument/2006/relationships/theme" Target="theme/theme1.xml"/><Relationship Id="rId16" Type="http://schemas.openxmlformats.org/officeDocument/2006/relationships/footer" Target="footer6.xml"/><Relationship Id="rId15" Type="http://schemas.openxmlformats.org/officeDocument/2006/relationships/footer" Target="footer5.xml"/><Relationship Id="rId14" Type="http://schemas.openxmlformats.org/officeDocument/2006/relationships/header" Target="header6.xml"/><Relationship Id="rId13" Type="http://schemas.openxmlformats.org/officeDocument/2006/relationships/header" Target="header5.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4.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tandardEditor\template\&#22242;&#20307;&#26631;&#20934;.dotx" TargetMode="Externa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6B2E1CA7FC10405D8B6CBB6D8BB963F3"/>
        <w:style w:val=""/>
        <w:category>
          <w:name w:val="常规"/>
          <w:gallery w:val="placeholder"/>
        </w:category>
        <w:types>
          <w:type w:val="bbPlcHdr"/>
        </w:types>
        <w:behaviors>
          <w:behavior w:val="content"/>
        </w:behaviors>
        <w:description w:val=""/>
        <w:guid w:val="{3D9428BA-E246-4DBE-80A1-BEF35420ABE6}"/>
      </w:docPartPr>
      <w:docPartBody>
        <w:p w14:paraId="35BCE294">
          <w:pPr>
            <w:pStyle w:val="5"/>
            <w:rPr>
              <w:rFonts w:hint="eastAsia"/>
            </w:rPr>
          </w:pPr>
          <w:r>
            <w:rPr>
              <w:rStyle w:val="4"/>
              <w:rFonts w:hint="eastAsia"/>
            </w:rPr>
            <w:t>单击或点击此处输入文字。</w:t>
          </w:r>
        </w:p>
      </w:docPartBody>
    </w:docPart>
    <w:docPart>
      <w:docPartPr>
        <w:name w:val="CBBC8BCA96594C66AEF380264FE7F092"/>
        <w:style w:val=""/>
        <w:category>
          <w:name w:val="常规"/>
          <w:gallery w:val="placeholder"/>
        </w:category>
        <w:types>
          <w:type w:val="bbPlcHdr"/>
        </w:types>
        <w:behaviors>
          <w:behavior w:val="content"/>
        </w:behaviors>
        <w:description w:val=""/>
        <w:guid w:val="{892554E0-FC79-40B8-A2A2-B0C6D8A2C899}"/>
      </w:docPartPr>
      <w:docPartBody>
        <w:p w14:paraId="08A89311">
          <w:pPr>
            <w:pStyle w:val="6"/>
            <w:rPr>
              <w:rFonts w:hint="eastAsia"/>
            </w:rPr>
          </w:pPr>
          <w:r>
            <w:rPr>
              <w:rStyle w:val="4"/>
              <w:rFonts w:hint="eastAsia"/>
            </w:rPr>
            <w:t>选择一项。</w:t>
          </w:r>
        </w:p>
      </w:docPartBody>
    </w:docPart>
    <w:docPart>
      <w:docPartPr>
        <w:name w:val="0D0C11D59D46497894743BEB381B5FD4"/>
        <w:style w:val=""/>
        <w:category>
          <w:name w:val="常规"/>
          <w:gallery w:val="placeholder"/>
        </w:category>
        <w:types>
          <w:type w:val="bbPlcHdr"/>
        </w:types>
        <w:behaviors>
          <w:behavior w:val="content"/>
        </w:behaviors>
        <w:description w:val=""/>
        <w:guid w:val="{B10EEA1D-0CC9-4E34-85D5-CD379C4294B5}"/>
      </w:docPartPr>
      <w:docPartBody>
        <w:p w14:paraId="29476278">
          <w:pPr>
            <w:pStyle w:val="7"/>
            <w:rPr>
              <w:rFonts w:hint="eastAsia"/>
            </w:rPr>
          </w:pPr>
          <w:r>
            <w:rPr>
              <w:rStyle w:val="4"/>
              <w:rFonts w:hint="eastAsia"/>
            </w:rPr>
            <w:t>选择一项。</w:t>
          </w:r>
        </w:p>
      </w:docPartBody>
    </w:docPart>
    <w:docPart>
      <w:docPartPr>
        <w:name w:val="{5cb1782b-cd68-42db-bc55-b6fcad8c42b2}"/>
        <w:style w:val=""/>
        <w:category>
          <w:name w:val="常规"/>
          <w:gallery w:val="placeholder"/>
        </w:category>
        <w:types>
          <w:type w:val="bbPlcHdr"/>
        </w:types>
        <w:behaviors>
          <w:behavior w:val="content"/>
        </w:behaviors>
        <w:description w:val=""/>
        <w:guid w:val="{5CB1782B-CD68-42DB-BC55-B6FCAD8C42B2}"/>
      </w:docPartPr>
      <w:docPartBody>
        <w:p w14:paraId="6C62D78E">
          <w:pPr>
            <w:pStyle w:val="5"/>
            <w:rPr>
              <w:rFonts w:hint="eastAsia"/>
            </w:rPr>
          </w:pPr>
          <w:r>
            <w:rPr>
              <w:rStyle w:val="4"/>
              <w:rFonts w:hint="eastAsia"/>
            </w:rPr>
            <w:t>单击或点击此处输入文字。</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3EE0"/>
    <w:rsid w:val="0000523A"/>
    <w:rsid w:val="00014772"/>
    <w:rsid w:val="0005779A"/>
    <w:rsid w:val="000A2B1C"/>
    <w:rsid w:val="00127C5E"/>
    <w:rsid w:val="00167E1E"/>
    <w:rsid w:val="001D293D"/>
    <w:rsid w:val="00263EB4"/>
    <w:rsid w:val="00274A2D"/>
    <w:rsid w:val="002C05E2"/>
    <w:rsid w:val="00352696"/>
    <w:rsid w:val="003A26AC"/>
    <w:rsid w:val="003B10E5"/>
    <w:rsid w:val="00411AFC"/>
    <w:rsid w:val="00411FF6"/>
    <w:rsid w:val="00494380"/>
    <w:rsid w:val="004F7FF2"/>
    <w:rsid w:val="005F3D6E"/>
    <w:rsid w:val="00622927"/>
    <w:rsid w:val="00634785"/>
    <w:rsid w:val="006B2A10"/>
    <w:rsid w:val="006B6A90"/>
    <w:rsid w:val="006D420F"/>
    <w:rsid w:val="0076772A"/>
    <w:rsid w:val="00890C61"/>
    <w:rsid w:val="00910F58"/>
    <w:rsid w:val="00917ADC"/>
    <w:rsid w:val="00975887"/>
    <w:rsid w:val="00987927"/>
    <w:rsid w:val="009F3EE0"/>
    <w:rsid w:val="00A21B15"/>
    <w:rsid w:val="00A540FF"/>
    <w:rsid w:val="00B40406"/>
    <w:rsid w:val="00B409FD"/>
    <w:rsid w:val="00B52127"/>
    <w:rsid w:val="00B755C7"/>
    <w:rsid w:val="00CA2605"/>
    <w:rsid w:val="00CF692E"/>
    <w:rsid w:val="00D25728"/>
    <w:rsid w:val="00D6495B"/>
    <w:rsid w:val="00D854AA"/>
    <w:rsid w:val="00E073F6"/>
    <w:rsid w:val="00E12610"/>
    <w:rsid w:val="00FE5707"/>
    <w:rsid w:val="00FF119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uiPriority="1" w:name="Default Paragraph Font"/>
    <w:lsdException w:uiPriority="99" w:name="Normal Table"/>
    <w:lsdException w:qFormat="1" w:unhideWhenUsed="0" w:uiPriority="99" w:name="Placeholder Text"/>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2">
    <w:name w:val="Default Paragraph Font"/>
    <w:semiHidden/>
    <w:unhideWhenUsed/>
    <w:uiPriority w:val="1"/>
  </w:style>
  <w:style w:type="table" w:default="1" w:styleId="3">
    <w:name w:val="Normal Table"/>
    <w:semiHidden/>
    <w:unhideWhenUsed/>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6B2E1CA7FC10405D8B6CBB6D8BB963F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
    <w:name w:val="CBBC8BCA96594C66AEF380264FE7F09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
    <w:name w:val="0D0C11D59D46497894743BEB381B5FD4"/>
    <w:qFormat/>
    <w:uiPriority w:val="0"/>
    <w:pPr>
      <w:widowControl w:val="0"/>
      <w:jc w:val="both"/>
    </w:pPr>
    <w:rPr>
      <w:rFonts w:asciiTheme="minorHAnsi" w:hAnsiTheme="minorHAnsi" w:eastAsiaTheme="minorEastAsia" w:cstheme="minorBidi"/>
      <w:kern w:val="2"/>
      <w:sz w:val="21"/>
      <w:szCs w:val="22"/>
      <w:lang w:val="en-US" w:eastAsia="zh-CN" w:bidi="ar-SA"/>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99BF1ED-5CA7-452E-A37D-7C789B2D3A76}">
  <ds:schemaRefs/>
</ds:datastoreItem>
</file>

<file path=docProps/app.xml><?xml version="1.0" encoding="utf-8"?>
<Properties xmlns="http://schemas.openxmlformats.org/officeDocument/2006/extended-properties" xmlns:vt="http://schemas.openxmlformats.org/officeDocument/2006/docPropsVTypes">
  <Template>团体标准</Template>
  <Company>PCMI</Company>
  <Pages>16</Pages>
  <Words>5785</Words>
  <Characters>6106</Characters>
  <Lines>100</Lines>
  <Paragraphs>28</Paragraphs>
  <TotalTime>2</TotalTime>
  <ScaleCrop>false</ScaleCrop>
  <LinksUpToDate>false</LinksUpToDate>
  <CharactersWithSpaces>6227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2023-05-08T15:10:00Z</dcterms:created>
  <dc:creator>gyb1</dc:creator>
  <cp:lastModifiedBy>金</cp:lastModifiedBy>
  <cp:lastPrinted>2023-10-18T00:40:00Z</cp:lastPrinted>
  <dcterms:modified xsi:type="dcterms:W3CDTF">2026-04-17T07:45:55Z</dcterms:modified>
  <dc:title>团体标准</dc:title>
  <cp:revision>197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ProductBuildVer">
    <vt:lpwstr>2052-12.1.0.25225</vt:lpwstr>
  </property>
  <property fmtid="{D5CDD505-2E9C-101B-9397-08002B2CF9AE}" pid="15" name="ICV">
    <vt:lpwstr>6686DC7265844CCF8B820F7A6F85321D_13</vt:lpwstr>
  </property>
  <property fmtid="{D5CDD505-2E9C-101B-9397-08002B2CF9AE}" pid="16" name="KSOTemplateDocerSaveRecord">
    <vt:lpwstr>eyJoZGlkIjoiMzEwNTM5NzYwMDRjMzkwZTVkZjY2ODkwMGIxNGU0OTUiLCJ1c2VySWQiOiIzNDgwMjk4ODUifQ==</vt:lpwstr>
  </property>
</Properties>
</file>